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E" w:rsidRDefault="00B50E2E" w:rsidP="006F4B12">
      <w:pPr>
        <w:pStyle w:val="Body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Praktika</w:t>
      </w:r>
      <w:r w:rsidRPr="00BC3025">
        <w:rPr>
          <w:b/>
          <w:bCs/>
        </w:rPr>
        <w:t>juhend</w:t>
      </w:r>
    </w:p>
    <w:p w:rsidR="00B50E2E" w:rsidRDefault="00B50E2E" w:rsidP="006F4B12">
      <w:pPr>
        <w:pStyle w:val="Body"/>
        <w:jc w:val="center"/>
        <w:outlineLvl w:val="0"/>
        <w:rPr>
          <w:b/>
          <w:bCs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711"/>
      </w:tblGrid>
      <w:tr w:rsidR="00B50E2E" w:rsidRPr="004016AB" w:rsidTr="00F9321B">
        <w:trPr>
          <w:jc w:val="center"/>
        </w:trPr>
        <w:tc>
          <w:tcPr>
            <w:tcW w:w="10133" w:type="dxa"/>
            <w:gridSpan w:val="2"/>
            <w:vAlign w:val="center"/>
          </w:tcPr>
          <w:p w:rsidR="00B50E2E" w:rsidRPr="00635191" w:rsidRDefault="00B50E2E" w:rsidP="00D570D3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metus </w:t>
            </w:r>
            <w:r>
              <w:rPr>
                <w:caps/>
                <w:noProof/>
                <w:lang w:val="et-EE"/>
              </w:rPr>
              <w:t xml:space="preserve"> </w:t>
            </w:r>
            <w:r w:rsidRPr="00D570D3">
              <w:rPr>
                <w:rFonts w:ascii="Times New Roman" w:hAnsi="Times New Roman" w:cs="Times New Roman"/>
                <w:kern w:val="0"/>
                <w:sz w:val="24"/>
                <w:szCs w:val="24"/>
                <w:lang w:val="et-EE"/>
              </w:rPr>
              <w:t>RAE0140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t-EE"/>
              </w:rPr>
              <w:t xml:space="preserve"> </w:t>
            </w:r>
            <w:r w:rsidRPr="00D570D3">
              <w:rPr>
                <w:rFonts w:ascii="Times New Roman" w:hAnsi="Times New Roman" w:cs="Times New Roman"/>
                <w:kern w:val="0"/>
                <w:sz w:val="24"/>
                <w:szCs w:val="24"/>
                <w:lang w:val="et-EE"/>
              </w:rPr>
              <w:t>Geodeesia praktika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t-EE"/>
              </w:rPr>
              <w:t xml:space="preserve"> </w:t>
            </w:r>
          </w:p>
        </w:tc>
      </w:tr>
      <w:tr w:rsidR="00B50E2E" w:rsidRPr="005F1D5D" w:rsidTr="00F9321B">
        <w:trPr>
          <w:jc w:val="center"/>
        </w:trPr>
        <w:tc>
          <w:tcPr>
            <w:tcW w:w="2422" w:type="dxa"/>
          </w:tcPr>
          <w:p w:rsidR="00B50E2E" w:rsidRPr="00BC3025" w:rsidRDefault="00B50E2E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711" w:type="dxa"/>
          </w:tcPr>
          <w:p w:rsidR="00B50E2E" w:rsidRPr="00D570D3" w:rsidRDefault="00B50E2E" w:rsidP="00D570D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D570D3">
              <w:rPr>
                <w:b/>
                <w:bCs/>
                <w:sz w:val="24"/>
                <w:szCs w:val="24"/>
                <w:lang w:val="et-EE"/>
              </w:rPr>
              <w:t>6 EAP, 4 tundi nädalas</w:t>
            </w:r>
          </w:p>
        </w:tc>
      </w:tr>
      <w:tr w:rsidR="00B50E2E" w:rsidRPr="00535DA9" w:rsidTr="00F9321B">
        <w:trPr>
          <w:jc w:val="center"/>
        </w:trPr>
        <w:tc>
          <w:tcPr>
            <w:tcW w:w="2422" w:type="dxa"/>
          </w:tcPr>
          <w:p w:rsidR="00B50E2E" w:rsidRPr="00BC3025" w:rsidRDefault="00B50E2E" w:rsidP="00AA70B1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  <w:r w:rsidRPr="00BC3025">
              <w:rPr>
                <w:b/>
                <w:bCs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711" w:type="dxa"/>
          </w:tcPr>
          <w:p w:rsidR="00B50E2E" w:rsidRPr="00D570D3" w:rsidRDefault="00B50E2E" w:rsidP="00D570D3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D570D3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B50E2E" w:rsidRPr="00197A01" w:rsidTr="00F9321B">
        <w:trPr>
          <w:jc w:val="center"/>
        </w:trPr>
        <w:tc>
          <w:tcPr>
            <w:tcW w:w="2422" w:type="dxa"/>
          </w:tcPr>
          <w:p w:rsidR="00B50E2E" w:rsidRPr="00633BCF" w:rsidRDefault="00B50E2E" w:rsidP="008230E7">
            <w:pPr>
              <w:spacing w:line="360" w:lineRule="auto"/>
              <w:rPr>
                <w:b/>
                <w:bCs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bCs/>
                <w:sz w:val="24"/>
                <w:szCs w:val="24"/>
                <w:lang w:val="et-EE"/>
              </w:rPr>
              <w:t>3.</w:t>
            </w:r>
            <w:r>
              <w:rPr>
                <w:b/>
                <w:bCs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711" w:type="dxa"/>
          </w:tcPr>
          <w:p w:rsidR="00B50E2E" w:rsidRPr="00635191" w:rsidRDefault="00B50E2E" w:rsidP="00D570D3">
            <w:pPr>
              <w:rPr>
                <w:lang w:val="et-EE"/>
              </w:rPr>
            </w:pPr>
            <w:r w:rsidRPr="00D570D3">
              <w:rPr>
                <w:sz w:val="24"/>
                <w:szCs w:val="24"/>
                <w:lang w:val="et-EE"/>
              </w:rPr>
              <w:t>Praktiline õpe, kus tutvutakse maa mõõdistamise ja kaardi valmistamise protsessi ja vahenditega. Õpitakse tundma põhilisi geodeetilisi instrumente. Tutvutakse mõõtmistulemuste matemaatilise töötlemise viisidega, kaartide, plaanide ja profiilide koostamisega ning maa-ala pindala määramisega.</w:t>
            </w:r>
          </w:p>
        </w:tc>
      </w:tr>
      <w:tr w:rsidR="00B50E2E" w:rsidRPr="00197A01" w:rsidTr="00F9321B">
        <w:trPr>
          <w:jc w:val="center"/>
        </w:trPr>
        <w:tc>
          <w:tcPr>
            <w:tcW w:w="2422" w:type="dxa"/>
          </w:tcPr>
          <w:p w:rsidR="00B50E2E" w:rsidRDefault="00B50E2E" w:rsidP="008230E7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4. Praktika õpiväljundid</w:t>
            </w:r>
          </w:p>
        </w:tc>
        <w:tc>
          <w:tcPr>
            <w:tcW w:w="7711" w:type="dxa"/>
          </w:tcPr>
          <w:p w:rsidR="00B50E2E" w:rsidRPr="00BC3025" w:rsidRDefault="00B50E2E" w:rsidP="00AA70B1">
            <w:pPr>
              <w:rPr>
                <w:sz w:val="24"/>
                <w:szCs w:val="24"/>
                <w:lang w:val="et-EE"/>
              </w:rPr>
            </w:pPr>
            <w:r w:rsidRPr="00D570D3">
              <w:rPr>
                <w:sz w:val="24"/>
                <w:szCs w:val="24"/>
                <w:lang w:val="et-EE"/>
              </w:rPr>
              <w:t>Üliõpilane oskab planeerida ja läbi viia lihtsamaid geodeetilisi mõõtmisi ja hinnata geodeetiliste mõõtmiste ja plaanide/kaartide täpsust.</w:t>
            </w:r>
          </w:p>
        </w:tc>
      </w:tr>
      <w:tr w:rsidR="00B50E2E" w:rsidRPr="00197A01" w:rsidTr="00F9321B">
        <w:trPr>
          <w:jc w:val="center"/>
        </w:trPr>
        <w:tc>
          <w:tcPr>
            <w:tcW w:w="2422" w:type="dxa"/>
          </w:tcPr>
          <w:p w:rsidR="00B50E2E" w:rsidRPr="00527DBC" w:rsidRDefault="00B50E2E" w:rsidP="008230E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527DBC">
              <w:rPr>
                <w:b/>
                <w:bCs/>
                <w:sz w:val="24"/>
                <w:szCs w:val="24"/>
                <w:lang w:val="et-EE"/>
              </w:rPr>
              <w:t>5. Läbitud erialaained ja nende õpiväljundid</w:t>
            </w:r>
          </w:p>
        </w:tc>
        <w:tc>
          <w:tcPr>
            <w:tcW w:w="7711" w:type="dxa"/>
          </w:tcPr>
          <w:p w:rsidR="00B50E2E" w:rsidRPr="00EF42C7" w:rsidRDefault="00B50E2E" w:rsidP="00EF42C7">
            <w:pPr>
              <w:rPr>
                <w:sz w:val="24"/>
                <w:szCs w:val="24"/>
                <w:lang w:val="et-EE"/>
              </w:rPr>
            </w:pPr>
            <w:r w:rsidRPr="004016AB">
              <w:rPr>
                <w:sz w:val="24"/>
                <w:szCs w:val="24"/>
                <w:lang w:val="et-EE"/>
              </w:rPr>
              <w:t>Õppekavas on läbitud üldõppe moodul ning ehitusinseneri alusõppe moodulid. Üliõpilane: tunneb eriala põhiterminoloogi</w:t>
            </w:r>
            <w:r w:rsidR="00930A74">
              <w:rPr>
                <w:sz w:val="24"/>
                <w:szCs w:val="24"/>
                <w:lang w:val="et-EE"/>
              </w:rPr>
              <w:t>a</w:t>
            </w:r>
            <w:r w:rsidRPr="004016AB">
              <w:rPr>
                <w:sz w:val="24"/>
                <w:szCs w:val="24"/>
                <w:lang w:val="et-EE"/>
              </w:rPr>
              <w:t>t; oskab analüüsida töökeskkonnas esilekerkinud probleemseid olukordi ja esitada omapoolseid lahendusi; oskab selgitada ja analüüsida ühiskonnas toimuvaid protsesse tulevasest erialasest tegevusest lähtudes; oskab kasutada loogilist ja analüütilist mõtlemist ning süsteemset lähenemist; omab teadmisi matemaatikas, tehnilises füüsikas ja infotehnoloogias sisus ja mahus, mis on vajalikud tehnikateaduste põhialuste ja erialaste teadmiste omandamiseks; omab ülevaadet ehituskonstruktsioonist kui süsteemist ning oskab võrrelda ja valida ehitusmaterjale ehitiste ja rajatiste projekteerimisel ning ehitamisel; on omandanud ehitusinsenerile vajalikud teadmised tehnilises mehaanikas.</w:t>
            </w:r>
          </w:p>
        </w:tc>
      </w:tr>
      <w:tr w:rsidR="00B50E2E" w:rsidRPr="004016AB" w:rsidTr="00F9321B">
        <w:trPr>
          <w:jc w:val="center"/>
        </w:trPr>
        <w:tc>
          <w:tcPr>
            <w:tcW w:w="2422" w:type="dxa"/>
          </w:tcPr>
          <w:p w:rsidR="00B50E2E" w:rsidRPr="00BC3025" w:rsidRDefault="00B50E2E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6</w:t>
            </w:r>
            <w:r w:rsidRPr="00BC3025">
              <w:rPr>
                <w:b/>
                <w:bCs/>
                <w:sz w:val="24"/>
                <w:szCs w:val="24"/>
                <w:lang w:val="et-EE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bCs/>
                <w:sz w:val="24"/>
                <w:szCs w:val="24"/>
                <w:lang w:val="et-EE"/>
              </w:rPr>
              <w:t>raktika</w:t>
            </w:r>
            <w:r w:rsidRPr="00BC3025">
              <w:rPr>
                <w:b/>
                <w:bCs/>
                <w:sz w:val="24"/>
                <w:szCs w:val="24"/>
                <w:lang w:val="et-EE"/>
              </w:rPr>
              <w:t xml:space="preserve"> korraldus ja arvestamine</w:t>
            </w:r>
          </w:p>
          <w:p w:rsidR="00B50E2E" w:rsidRPr="00BC3025" w:rsidRDefault="00B50E2E" w:rsidP="00AA70B1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711" w:type="dxa"/>
          </w:tcPr>
          <w:p w:rsidR="00B50E2E" w:rsidRPr="00BC3025" w:rsidRDefault="00B50E2E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Pr="00BC3025">
              <w:rPr>
                <w:sz w:val="24"/>
                <w:szCs w:val="24"/>
                <w:lang w:val="et-EE"/>
              </w:rPr>
              <w:t xml:space="preserve">raktika </w:t>
            </w:r>
            <w:r>
              <w:rPr>
                <w:sz w:val="24"/>
                <w:szCs w:val="24"/>
                <w:lang w:val="et-EE"/>
              </w:rPr>
              <w:t>üldine korraldus on sätestatud</w:t>
            </w:r>
            <w:r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>
              <w:rPr>
                <w:sz w:val="24"/>
                <w:szCs w:val="24"/>
                <w:lang w:val="et-EE"/>
              </w:rPr>
              <w:t>rjas</w:t>
            </w:r>
            <w:r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B50E2E" w:rsidRPr="006F4B12" w:rsidRDefault="00B50E2E" w:rsidP="00EF42C7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>kuraatorid, õppetalitus ning välispraktika puhul Erasmuse koordinaator.</w:t>
            </w:r>
          </w:p>
          <w:p w:rsidR="00B50E2E" w:rsidRPr="008F0B6A" w:rsidRDefault="00B50E2E" w:rsidP="00EF42C7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võimalik läbida ka TTÜ instituutides ja asutustes.</w:t>
            </w:r>
          </w:p>
          <w:p w:rsidR="00B50E2E" w:rsidRPr="003E2C0B" w:rsidRDefault="00B50E2E" w:rsidP="00EF42C7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 praktikakuraatoriga.</w:t>
            </w:r>
          </w:p>
          <w:p w:rsidR="00B50E2E" w:rsidRPr="003E2C0B" w:rsidRDefault="00B50E2E" w:rsidP="00EF42C7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Erasmus</w:t>
            </w:r>
            <w:r>
              <w:rPr>
                <w:sz w:val="24"/>
                <w:szCs w:val="24"/>
                <w:lang w:val="et-EE"/>
              </w:rPr>
              <w:t>e</w:t>
            </w:r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protseduurireeglitest.</w:t>
            </w:r>
          </w:p>
          <w:p w:rsidR="00B50E2E" w:rsidRPr="003E2C0B" w:rsidRDefault="00B50E2E" w:rsidP="00EF42C7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arvestamiseks esitab üliõpilane oma praktikakuraatorile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B50E2E" w:rsidRPr="004016AB" w:rsidTr="00F9321B">
        <w:trPr>
          <w:jc w:val="center"/>
        </w:trPr>
        <w:tc>
          <w:tcPr>
            <w:tcW w:w="2422" w:type="dxa"/>
          </w:tcPr>
          <w:p w:rsidR="00B50E2E" w:rsidRPr="00BC3025" w:rsidRDefault="00B50E2E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7</w:t>
            </w:r>
            <w:r w:rsidRPr="00BC3025">
              <w:rPr>
                <w:b/>
                <w:bCs/>
                <w:sz w:val="24"/>
                <w:szCs w:val="24"/>
                <w:lang w:val="et-EE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t-EE"/>
              </w:rPr>
              <w:t xml:space="preserve">Üliõpilase kohustused seoses praktikaga </w:t>
            </w:r>
          </w:p>
        </w:tc>
        <w:tc>
          <w:tcPr>
            <w:tcW w:w="7711" w:type="dxa"/>
          </w:tcPr>
          <w:p w:rsidR="00B50E2E" w:rsidRPr="004673FA" w:rsidRDefault="00B50E2E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4673FA">
              <w:rPr>
                <w:b/>
                <w:bCs/>
                <w:sz w:val="24"/>
                <w:szCs w:val="24"/>
                <w:lang w:val="et-EE"/>
              </w:rPr>
              <w:t>Üliõpilane on kohustatud:</w:t>
            </w:r>
          </w:p>
          <w:p w:rsidR="00B50E2E" w:rsidRPr="00D401F4" w:rsidRDefault="00B50E2E" w:rsidP="00EF42C7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praktikakohapoolsele praktika juhendajale.</w:t>
            </w:r>
          </w:p>
          <w:p w:rsidR="00B50E2E" w:rsidRDefault="00B50E2E" w:rsidP="00EF42C7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B50E2E" w:rsidRDefault="00B50E2E" w:rsidP="00EF42C7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B50E2E" w:rsidRPr="005304C7" w:rsidRDefault="00B50E2E" w:rsidP="00EF42C7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Täitma kohusetundlik</w:t>
            </w:r>
            <w:r>
              <w:rPr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B50E2E" w:rsidRPr="005304C7" w:rsidRDefault="00B50E2E" w:rsidP="00EF42C7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B50E2E" w:rsidRPr="004016AB" w:rsidTr="00F9321B">
        <w:trPr>
          <w:jc w:val="center"/>
        </w:trPr>
        <w:tc>
          <w:tcPr>
            <w:tcW w:w="2422" w:type="dxa"/>
          </w:tcPr>
          <w:p w:rsidR="00B50E2E" w:rsidRPr="00BC3025" w:rsidRDefault="00B50E2E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lastRenderedPageBreak/>
              <w:t>8</w:t>
            </w:r>
            <w:r w:rsidRPr="00BC3025">
              <w:rPr>
                <w:b/>
                <w:bCs/>
                <w:sz w:val="24"/>
                <w:szCs w:val="24"/>
                <w:lang w:val="et-EE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bCs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bCs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bCs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711" w:type="dxa"/>
          </w:tcPr>
          <w:p w:rsidR="00B50E2E" w:rsidRPr="00323F64" w:rsidRDefault="00B50E2E" w:rsidP="001B7924">
            <w:pPr>
              <w:autoSpaceDE w:val="0"/>
              <w:autoSpaceDN w:val="0"/>
              <w:adjustRightInd w:val="0"/>
              <w:ind w:right="-125"/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</w:pP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Analüüsib, selgitab ja hindab adekvaatselt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praktika raames tehtud geodeetiliste tööde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tehnoloogiat ja saavutatud tulemusi.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Kirjelduse täpsus, selgus,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a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rusaadavus,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erialase terminoloogia kasutamine.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Teab lähtepunktide valiku põhimõtteid ja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nõutavat täpsust.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Selgitab praktikal kasutatud geodeetiliste</w:t>
            </w:r>
          </w:p>
          <w:p w:rsidR="00B50E2E" w:rsidRPr="00323F64" w:rsidRDefault="00B50E2E" w:rsidP="00527DB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</w:pP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mõõteriistade käsitsemist ja saavutatud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tulemusi.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Teab kasutatud instrumente ja mõõtmiste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põhimõttelist skeemi.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Analüüsib, selgitab ja hindab praktika</w:t>
            </w:r>
          </w:p>
          <w:p w:rsidR="00B50E2E" w:rsidRPr="00323F64" w:rsidRDefault="00B50E2E" w:rsidP="00527DB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</w:pP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tööde andmetöötluse metoodikat,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saavutatud tulemusi ja täpsushinnagu</w:t>
            </w:r>
          </w:p>
          <w:p w:rsidR="00B50E2E" w:rsidRPr="00323F64" w:rsidRDefault="00B50E2E" w:rsidP="00527DB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</w:pP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põhimõtteid.</w:t>
            </w:r>
          </w:p>
          <w:p w:rsidR="00B50E2E" w:rsidRPr="00323F64" w:rsidRDefault="00B50E2E" w:rsidP="00527DB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</w:pP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Põhjuseta puudutud praktikapäevi ei tohi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olla, kusjuures mõjuva põhjusega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puudumisi mitte rohkem kui 1 päev.</w:t>
            </w:r>
          </w:p>
          <w:p w:rsidR="00B50E2E" w:rsidRPr="00527DBC" w:rsidRDefault="00B50E2E" w:rsidP="00F32B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</w:pP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Selgelt, täpselt ja arusaadavalt koostatud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BD7C07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praktika</w:t>
            </w:r>
            <w:r w:rsidRPr="00323F64">
              <w:rPr>
                <w:rFonts w:ascii="TimesNewRoman" w:hAnsi="TimesNewRoman" w:cs="TimesNewRoman"/>
                <w:color w:val="000000"/>
                <w:sz w:val="24"/>
                <w:szCs w:val="24"/>
                <w:lang w:val="de-DE"/>
              </w:rPr>
              <w:t>aruande õigeaegne esitamine.</w:t>
            </w:r>
          </w:p>
        </w:tc>
      </w:tr>
      <w:tr w:rsidR="00B50E2E" w:rsidRPr="00197A01" w:rsidTr="00F9321B">
        <w:trPr>
          <w:jc w:val="center"/>
        </w:trPr>
        <w:tc>
          <w:tcPr>
            <w:tcW w:w="2422" w:type="dxa"/>
          </w:tcPr>
          <w:p w:rsidR="00B50E2E" w:rsidRPr="00BC3025" w:rsidRDefault="00B50E2E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bCs/>
                <w:sz w:val="24"/>
                <w:szCs w:val="24"/>
                <w:lang w:val="et-EE"/>
              </w:rPr>
              <w:t>. Praktikaaruanne</w:t>
            </w:r>
          </w:p>
          <w:p w:rsidR="00B50E2E" w:rsidRDefault="00B50E2E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B50E2E" w:rsidRPr="00BC3025" w:rsidRDefault="00B50E2E" w:rsidP="00AA70B1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711" w:type="dxa"/>
          </w:tcPr>
          <w:p w:rsidR="00B50E2E" w:rsidRPr="00BC3025" w:rsidRDefault="00B50E2E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tav</w:t>
            </w:r>
          </w:p>
          <w:p w:rsidR="00B50E2E" w:rsidRPr="00D401F4" w:rsidRDefault="00B50E2E" w:rsidP="00EF42C7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B50E2E" w:rsidRPr="00D401F4" w:rsidRDefault="00B50E2E" w:rsidP="00EF42C7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197A01">
              <w:rPr>
                <w:sz w:val="24"/>
                <w:szCs w:val="24"/>
                <w:lang w:val="et-EE"/>
              </w:rPr>
              <w:t xml:space="preserve"> vormistamise juhendi nõuetest.</w:t>
            </w:r>
          </w:p>
          <w:p w:rsidR="00B50E2E" w:rsidRPr="003E2C0B" w:rsidRDefault="00B50E2E" w:rsidP="00EF42C7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praktika eesmärgipärasusele ning tulemuslikkusele.</w:t>
            </w:r>
          </w:p>
          <w:p w:rsidR="00B50E2E" w:rsidRPr="003E2C0B" w:rsidRDefault="00B50E2E" w:rsidP="00EF42C7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B50E2E" w:rsidRPr="003E2C0B" w:rsidRDefault="00B50E2E" w:rsidP="00EF42C7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B50E2E" w:rsidRPr="00EA590F" w:rsidTr="00F9321B">
        <w:trPr>
          <w:jc w:val="center"/>
        </w:trPr>
        <w:tc>
          <w:tcPr>
            <w:tcW w:w="2422" w:type="dxa"/>
          </w:tcPr>
          <w:p w:rsidR="00B50E2E" w:rsidRPr="00435D39" w:rsidRDefault="00B50E2E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10. Praktikaaruande struktuur</w:t>
            </w:r>
          </w:p>
          <w:p w:rsidR="00B50E2E" w:rsidRPr="00435D39" w:rsidRDefault="00B50E2E" w:rsidP="00AA70B1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711" w:type="dxa"/>
          </w:tcPr>
          <w:p w:rsidR="00B50E2E" w:rsidRPr="00DB141F" w:rsidRDefault="00B50E2E" w:rsidP="00146018">
            <w:pPr>
              <w:numPr>
                <w:ilvl w:val="0"/>
                <w:numId w:val="6"/>
              </w:numPr>
              <w:tabs>
                <w:tab w:val="clear" w:pos="360"/>
                <w:tab w:val="num" w:pos="261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DB141F">
              <w:rPr>
                <w:b/>
                <w:bCs/>
                <w:sz w:val="24"/>
                <w:szCs w:val="24"/>
                <w:lang w:val="et-EE"/>
              </w:rPr>
              <w:t>Sissejuhatus</w:t>
            </w:r>
          </w:p>
          <w:p w:rsidR="00B50E2E" w:rsidRPr="009A631C" w:rsidRDefault="00B50E2E" w:rsidP="00146018">
            <w:pPr>
              <w:tabs>
                <w:tab w:val="num" w:pos="261"/>
              </w:tabs>
              <w:ind w:left="369" w:hanging="108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B50E2E" w:rsidRPr="002F7D76" w:rsidRDefault="00B50E2E" w:rsidP="00146018">
            <w:pPr>
              <w:tabs>
                <w:tab w:val="num" w:pos="261"/>
              </w:tabs>
              <w:ind w:left="369" w:hanging="108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1.2. Valitud praktikakoht </w:t>
            </w:r>
            <w:r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B50E2E" w:rsidRPr="00DB141F" w:rsidRDefault="00B50E2E" w:rsidP="00146018">
            <w:pPr>
              <w:numPr>
                <w:ilvl w:val="0"/>
                <w:numId w:val="6"/>
              </w:numPr>
              <w:tabs>
                <w:tab w:val="clear" w:pos="360"/>
                <w:tab w:val="num" w:pos="261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DB141F">
              <w:rPr>
                <w:b/>
                <w:bCs/>
                <w:sz w:val="24"/>
                <w:szCs w:val="24"/>
                <w:lang w:val="et-EE"/>
              </w:rPr>
              <w:t>Praktikakoha tegevuse analüüs</w:t>
            </w:r>
          </w:p>
          <w:p w:rsidR="00B50E2E" w:rsidRPr="00435D39" w:rsidRDefault="00B50E2E" w:rsidP="00146018">
            <w:pPr>
              <w:tabs>
                <w:tab w:val="num" w:pos="261"/>
              </w:tabs>
              <w:ind w:left="261" w:hanging="108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B50E2E" w:rsidRPr="00435D39" w:rsidRDefault="00B50E2E" w:rsidP="00146018">
            <w:pPr>
              <w:tabs>
                <w:tab w:val="num" w:pos="261"/>
              </w:tabs>
              <w:ind w:left="261" w:hanging="108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B50E2E" w:rsidRPr="00435D39" w:rsidRDefault="00B50E2E" w:rsidP="00146018">
            <w:pPr>
              <w:tabs>
                <w:tab w:val="num" w:pos="261"/>
              </w:tabs>
              <w:ind w:left="261" w:hanging="108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B50E2E" w:rsidRPr="00435D39" w:rsidRDefault="00B50E2E" w:rsidP="00146018">
            <w:pPr>
              <w:numPr>
                <w:ilvl w:val="0"/>
                <w:numId w:val="6"/>
              </w:numPr>
              <w:tabs>
                <w:tab w:val="clear" w:pos="360"/>
                <w:tab w:val="num" w:pos="261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435D39">
              <w:rPr>
                <w:b/>
                <w:bCs/>
                <w:sz w:val="24"/>
                <w:szCs w:val="24"/>
                <w:lang w:val="et-EE"/>
              </w:rPr>
              <w:t>Ülevaade praktika käigust (sh eneseanalüüs)</w:t>
            </w:r>
          </w:p>
          <w:p w:rsidR="00B50E2E" w:rsidRPr="00435D39" w:rsidRDefault="00B50E2E" w:rsidP="00146018">
            <w:pPr>
              <w:tabs>
                <w:tab w:val="num" w:pos="261"/>
              </w:tabs>
              <w:ind w:left="261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B50E2E" w:rsidRPr="00435D39" w:rsidRDefault="00B50E2E" w:rsidP="00146018">
            <w:pPr>
              <w:tabs>
                <w:tab w:val="num" w:pos="261"/>
              </w:tabs>
              <w:ind w:left="261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B50E2E" w:rsidRPr="00435D39" w:rsidRDefault="00B50E2E" w:rsidP="00146018">
            <w:pPr>
              <w:tabs>
                <w:tab w:val="num" w:pos="261"/>
              </w:tabs>
              <w:ind w:left="261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B50E2E" w:rsidRPr="00435D39" w:rsidRDefault="00B50E2E" w:rsidP="00146018">
            <w:pPr>
              <w:numPr>
                <w:ilvl w:val="0"/>
                <w:numId w:val="6"/>
              </w:numPr>
              <w:tabs>
                <w:tab w:val="clear" w:pos="360"/>
                <w:tab w:val="num" w:pos="261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435D39">
              <w:rPr>
                <w:b/>
                <w:bCs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bCs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bCs/>
                <w:sz w:val="24"/>
                <w:szCs w:val="24"/>
                <w:lang w:val="et-EE"/>
              </w:rPr>
              <w:t>:</w:t>
            </w:r>
          </w:p>
          <w:p w:rsidR="00B50E2E" w:rsidRPr="00435D39" w:rsidRDefault="00B50E2E" w:rsidP="00146018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261"/>
                <w:tab w:val="num" w:pos="621"/>
              </w:tabs>
              <w:ind w:hanging="1164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B50E2E" w:rsidRPr="00435D39" w:rsidRDefault="00B50E2E" w:rsidP="00146018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261"/>
                <w:tab w:val="num" w:pos="621"/>
              </w:tabs>
              <w:ind w:left="1429" w:hanging="1164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B50E2E" w:rsidRPr="00435D39" w:rsidRDefault="00B50E2E" w:rsidP="00146018">
            <w:pPr>
              <w:numPr>
                <w:ilvl w:val="0"/>
                <w:numId w:val="6"/>
              </w:numPr>
              <w:tabs>
                <w:tab w:val="clear" w:pos="360"/>
                <w:tab w:val="num" w:pos="261"/>
                <w:tab w:val="num" w:pos="809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435D39">
              <w:rPr>
                <w:b/>
                <w:bCs/>
                <w:sz w:val="24"/>
                <w:szCs w:val="24"/>
                <w:lang w:val="et-EE"/>
              </w:rPr>
              <w:t>Kokkuvõte praktikast</w:t>
            </w:r>
          </w:p>
          <w:p w:rsidR="00B50E2E" w:rsidRPr="00435D39" w:rsidRDefault="00B50E2E" w:rsidP="00146018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261"/>
                <w:tab w:val="num" w:pos="621"/>
              </w:tabs>
              <w:ind w:left="621" w:hanging="36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B50E2E" w:rsidRDefault="00B50E2E" w:rsidP="00146018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261"/>
                <w:tab w:val="num" w:pos="621"/>
              </w:tabs>
              <w:ind w:left="621" w:hanging="360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>
              <w:rPr>
                <w:sz w:val="24"/>
                <w:szCs w:val="24"/>
                <w:lang w:val="et-EE"/>
              </w:rPr>
              <w:t xml:space="preserve"> praktika eesmärkide täitmisele.</w:t>
            </w:r>
          </w:p>
          <w:p w:rsidR="00B50E2E" w:rsidRPr="00435D39" w:rsidRDefault="00B50E2E" w:rsidP="00146018">
            <w:pPr>
              <w:numPr>
                <w:ilvl w:val="0"/>
                <w:numId w:val="6"/>
              </w:numPr>
              <w:tabs>
                <w:tab w:val="clear" w:pos="360"/>
                <w:tab w:val="num" w:pos="261"/>
                <w:tab w:val="num" w:pos="809"/>
              </w:tabs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Lisad</w:t>
            </w:r>
          </w:p>
          <w:p w:rsidR="00B50E2E" w:rsidRPr="00435D39" w:rsidRDefault="00B50E2E" w:rsidP="00146018">
            <w:pPr>
              <w:pStyle w:val="ListParagraph"/>
              <w:numPr>
                <w:ilvl w:val="1"/>
                <w:numId w:val="7"/>
              </w:numPr>
              <w:tabs>
                <w:tab w:val="num" w:pos="261"/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B50E2E" w:rsidRPr="0045660C" w:rsidRDefault="00B50E2E" w:rsidP="00146018">
            <w:pPr>
              <w:pStyle w:val="ListParagraph"/>
              <w:numPr>
                <w:ilvl w:val="1"/>
                <w:numId w:val="7"/>
              </w:numPr>
              <w:tabs>
                <w:tab w:val="num" w:pos="261"/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B50E2E" w:rsidRPr="004016AB" w:rsidTr="00F9321B">
        <w:trPr>
          <w:jc w:val="center"/>
        </w:trPr>
        <w:tc>
          <w:tcPr>
            <w:tcW w:w="2422" w:type="dxa"/>
          </w:tcPr>
          <w:p w:rsidR="00B50E2E" w:rsidRPr="00126DCD" w:rsidRDefault="00B50E2E" w:rsidP="00AA70B1">
            <w:pPr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bCs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bCs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</w:p>
          <w:p w:rsidR="00B50E2E" w:rsidRPr="00126DCD" w:rsidRDefault="00B50E2E" w:rsidP="00AA70B1">
            <w:pPr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7711" w:type="dxa"/>
          </w:tcPr>
          <w:p w:rsidR="00B50E2E" w:rsidRPr="005E79E9" w:rsidRDefault="00B50E2E" w:rsidP="00EF42C7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 xml:space="preserve">Vajadusel või praktikakoha nõudel võib praktika sooritamiseks sõlmida kolmepoolse lepingu praktikandi, </w:t>
            </w:r>
            <w:r w:rsidRPr="006F4B12">
              <w:rPr>
                <w:sz w:val="24"/>
                <w:szCs w:val="24"/>
                <w:lang w:val="et-EE"/>
              </w:rPr>
              <w:t>praktikakoha ja kolledži direktori</w:t>
            </w:r>
            <w:r w:rsidRPr="005E79E9">
              <w:rPr>
                <w:sz w:val="24"/>
                <w:szCs w:val="24"/>
                <w:lang w:val="et-EE"/>
              </w:rPr>
              <w:t xml:space="preserve"> vahel.</w:t>
            </w:r>
          </w:p>
          <w:p w:rsidR="00B50E2E" w:rsidRPr="005E79E9" w:rsidRDefault="00B50E2E" w:rsidP="00EF42C7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 xml:space="preserve">Reeglina sõlmib praktikakoht praktikandiga kahepoolse töö- või </w:t>
            </w:r>
            <w:r w:rsidRPr="005E79E9">
              <w:rPr>
                <w:sz w:val="24"/>
                <w:szCs w:val="24"/>
                <w:lang w:val="et-EE"/>
              </w:rPr>
              <w:lastRenderedPageBreak/>
              <w:t>praktikalepingu.</w:t>
            </w:r>
          </w:p>
          <w:p w:rsidR="00B50E2E" w:rsidRPr="005E79E9" w:rsidRDefault="00B50E2E" w:rsidP="00EF42C7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otsustab praktikakoht (v. a intellektuaalse omandi tekkimise korral).</w:t>
            </w:r>
          </w:p>
        </w:tc>
      </w:tr>
    </w:tbl>
    <w:p w:rsidR="00B50E2E" w:rsidRPr="00EF42C7" w:rsidRDefault="00B50E2E">
      <w:pPr>
        <w:rPr>
          <w:lang w:val="fi-FI"/>
        </w:rPr>
      </w:pPr>
    </w:p>
    <w:sectPr w:rsidR="00B50E2E" w:rsidRPr="00EF42C7" w:rsidSect="004016AB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01782"/>
    <w:rsid w:val="00020E08"/>
    <w:rsid w:val="0002326F"/>
    <w:rsid w:val="00074059"/>
    <w:rsid w:val="00105A97"/>
    <w:rsid w:val="00126DCD"/>
    <w:rsid w:val="00137F14"/>
    <w:rsid w:val="00146018"/>
    <w:rsid w:val="001564A7"/>
    <w:rsid w:val="0016505E"/>
    <w:rsid w:val="0019119A"/>
    <w:rsid w:val="00197A01"/>
    <w:rsid w:val="001B7924"/>
    <w:rsid w:val="001C499C"/>
    <w:rsid w:val="002311B2"/>
    <w:rsid w:val="00240E11"/>
    <w:rsid w:val="00252A60"/>
    <w:rsid w:val="002F7D76"/>
    <w:rsid w:val="00323F64"/>
    <w:rsid w:val="003423E0"/>
    <w:rsid w:val="003600F3"/>
    <w:rsid w:val="003E2C0B"/>
    <w:rsid w:val="004016AB"/>
    <w:rsid w:val="00435D39"/>
    <w:rsid w:val="0045660C"/>
    <w:rsid w:val="004673FA"/>
    <w:rsid w:val="00496A38"/>
    <w:rsid w:val="00527DBC"/>
    <w:rsid w:val="005304C7"/>
    <w:rsid w:val="00535DA9"/>
    <w:rsid w:val="00562573"/>
    <w:rsid w:val="00586382"/>
    <w:rsid w:val="005E79E9"/>
    <w:rsid w:val="005F1D5D"/>
    <w:rsid w:val="005F3E43"/>
    <w:rsid w:val="00605B40"/>
    <w:rsid w:val="00633BCF"/>
    <w:rsid w:val="00635191"/>
    <w:rsid w:val="00647D09"/>
    <w:rsid w:val="0067348E"/>
    <w:rsid w:val="00693CDE"/>
    <w:rsid w:val="00697C55"/>
    <w:rsid w:val="006F4B12"/>
    <w:rsid w:val="007C7485"/>
    <w:rsid w:val="007E0BE8"/>
    <w:rsid w:val="007E298F"/>
    <w:rsid w:val="008230E7"/>
    <w:rsid w:val="00855751"/>
    <w:rsid w:val="008D2310"/>
    <w:rsid w:val="008F0B6A"/>
    <w:rsid w:val="009020BA"/>
    <w:rsid w:val="00930A74"/>
    <w:rsid w:val="00965D76"/>
    <w:rsid w:val="00981A0C"/>
    <w:rsid w:val="009A631C"/>
    <w:rsid w:val="00A203FA"/>
    <w:rsid w:val="00A62708"/>
    <w:rsid w:val="00A667E4"/>
    <w:rsid w:val="00AA70B1"/>
    <w:rsid w:val="00B50E2E"/>
    <w:rsid w:val="00BC3025"/>
    <w:rsid w:val="00BD7C07"/>
    <w:rsid w:val="00C42E05"/>
    <w:rsid w:val="00CC0362"/>
    <w:rsid w:val="00D401F4"/>
    <w:rsid w:val="00D50B6E"/>
    <w:rsid w:val="00D570D3"/>
    <w:rsid w:val="00DB0B7C"/>
    <w:rsid w:val="00DB141F"/>
    <w:rsid w:val="00DE39A6"/>
    <w:rsid w:val="00EA06A5"/>
    <w:rsid w:val="00EA590F"/>
    <w:rsid w:val="00EF42C7"/>
    <w:rsid w:val="00F04FA7"/>
    <w:rsid w:val="00F32BD3"/>
    <w:rsid w:val="00F5296D"/>
    <w:rsid w:val="00F61B0B"/>
    <w:rsid w:val="00F9321B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6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A60"/>
    <w:rPr>
      <w:rFonts w:ascii="Arial" w:hAnsi="Arial" w:cs="Arial"/>
      <w:b/>
      <w:bCs/>
      <w:sz w:val="24"/>
      <w:szCs w:val="24"/>
      <w:lang w:val="en-GB"/>
    </w:rPr>
  </w:style>
  <w:style w:type="paragraph" w:customStyle="1" w:styleId="Lisatekst">
    <w:name w:val="Lisatekst"/>
    <w:basedOn w:val="BodyText"/>
    <w:uiPriority w:val="99"/>
    <w:rsid w:val="00252A60"/>
    <w:pPr>
      <w:tabs>
        <w:tab w:val="left" w:pos="6521"/>
      </w:tabs>
      <w:spacing w:before="120" w:after="0"/>
    </w:pPr>
    <w:rPr>
      <w:sz w:val="24"/>
      <w:szCs w:val="24"/>
      <w:lang w:val="et-EE"/>
    </w:rPr>
  </w:style>
  <w:style w:type="paragraph" w:customStyle="1" w:styleId="Body">
    <w:name w:val="Body"/>
    <w:basedOn w:val="BodyText"/>
    <w:uiPriority w:val="99"/>
    <w:rsid w:val="00252A60"/>
    <w:pPr>
      <w:tabs>
        <w:tab w:val="left" w:pos="6521"/>
      </w:tabs>
      <w:spacing w:after="0"/>
    </w:pPr>
    <w:rPr>
      <w:sz w:val="24"/>
      <w:szCs w:val="24"/>
      <w:lang w:val="et-EE"/>
    </w:rPr>
  </w:style>
  <w:style w:type="paragraph" w:styleId="ListParagraph">
    <w:name w:val="List Paragraph"/>
    <w:basedOn w:val="Normal"/>
    <w:uiPriority w:val="99"/>
    <w:qFormat/>
    <w:rsid w:val="00252A60"/>
    <w:pPr>
      <w:ind w:left="720"/>
    </w:pPr>
  </w:style>
  <w:style w:type="paragraph" w:customStyle="1" w:styleId="Pevakorrapunkt">
    <w:name w:val="Päevakorrapunkt"/>
    <w:basedOn w:val="BodyText"/>
    <w:uiPriority w:val="99"/>
    <w:rsid w:val="00252A60"/>
    <w:pPr>
      <w:numPr>
        <w:numId w:val="15"/>
      </w:numPr>
      <w:spacing w:before="240"/>
    </w:pPr>
    <w:rPr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99"/>
    <w:semiHidden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60"/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6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A60"/>
    <w:rPr>
      <w:rFonts w:ascii="Arial" w:hAnsi="Arial" w:cs="Arial"/>
      <w:b/>
      <w:bCs/>
      <w:sz w:val="24"/>
      <w:szCs w:val="24"/>
      <w:lang w:val="en-GB"/>
    </w:rPr>
  </w:style>
  <w:style w:type="paragraph" w:customStyle="1" w:styleId="Lisatekst">
    <w:name w:val="Lisatekst"/>
    <w:basedOn w:val="BodyText"/>
    <w:uiPriority w:val="99"/>
    <w:rsid w:val="00252A60"/>
    <w:pPr>
      <w:tabs>
        <w:tab w:val="left" w:pos="6521"/>
      </w:tabs>
      <w:spacing w:before="120" w:after="0"/>
    </w:pPr>
    <w:rPr>
      <w:sz w:val="24"/>
      <w:szCs w:val="24"/>
      <w:lang w:val="et-EE"/>
    </w:rPr>
  </w:style>
  <w:style w:type="paragraph" w:customStyle="1" w:styleId="Body">
    <w:name w:val="Body"/>
    <w:basedOn w:val="BodyText"/>
    <w:uiPriority w:val="99"/>
    <w:rsid w:val="00252A60"/>
    <w:pPr>
      <w:tabs>
        <w:tab w:val="left" w:pos="6521"/>
      </w:tabs>
      <w:spacing w:after="0"/>
    </w:pPr>
    <w:rPr>
      <w:sz w:val="24"/>
      <w:szCs w:val="24"/>
      <w:lang w:val="et-EE"/>
    </w:rPr>
  </w:style>
  <w:style w:type="paragraph" w:styleId="ListParagraph">
    <w:name w:val="List Paragraph"/>
    <w:basedOn w:val="Normal"/>
    <w:uiPriority w:val="99"/>
    <w:qFormat/>
    <w:rsid w:val="00252A60"/>
    <w:pPr>
      <w:ind w:left="720"/>
    </w:pPr>
  </w:style>
  <w:style w:type="paragraph" w:customStyle="1" w:styleId="Pevakorrapunkt">
    <w:name w:val="Päevakorrapunkt"/>
    <w:basedOn w:val="BodyText"/>
    <w:uiPriority w:val="99"/>
    <w:rsid w:val="00252A60"/>
    <w:pPr>
      <w:numPr>
        <w:numId w:val="15"/>
      </w:numPr>
      <w:spacing w:before="240"/>
    </w:pPr>
    <w:rPr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99"/>
    <w:semiHidden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60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976CF1E5</Template>
  <TotalTime>0</TotalTime>
  <Pages>3</Pages>
  <Words>840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2014-09-16T11:22:00Z</dcterms:created>
  <dcterms:modified xsi:type="dcterms:W3CDTF">2014-09-16T11:22:00Z</dcterms:modified>
</cp:coreProperties>
</file>