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AA70B1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2814DC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2814D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2814DC" w:rsidRPr="002814D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R2634 Erialapraktika II</w:t>
            </w:r>
          </w:p>
        </w:tc>
      </w:tr>
      <w:tr w:rsidR="00252A60" w:rsidRPr="008E30D4" w:rsidTr="00AA70B1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2814DC" w:rsidRDefault="002814DC" w:rsidP="002814D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2814DC">
              <w:rPr>
                <w:b/>
                <w:sz w:val="24"/>
                <w:szCs w:val="24"/>
                <w:lang w:val="et-EE"/>
              </w:rPr>
              <w:t xml:space="preserve">12 </w:t>
            </w:r>
            <w:r w:rsidR="00252A60" w:rsidRPr="002814DC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2814DC">
              <w:rPr>
                <w:b/>
                <w:sz w:val="24"/>
                <w:szCs w:val="24"/>
                <w:lang w:val="et-EE"/>
              </w:rPr>
              <w:t xml:space="preserve">, </w:t>
            </w:r>
            <w:r w:rsidRPr="002814DC">
              <w:rPr>
                <w:b/>
                <w:sz w:val="24"/>
                <w:szCs w:val="24"/>
                <w:lang w:val="et-EE"/>
              </w:rPr>
              <w:t>8</w:t>
            </w:r>
            <w:r w:rsidR="00FE4507" w:rsidRPr="002814DC">
              <w:rPr>
                <w:b/>
                <w:sz w:val="24"/>
                <w:szCs w:val="24"/>
                <w:lang w:val="et-EE"/>
              </w:rPr>
              <w:t xml:space="preserve"> nädalat</w:t>
            </w:r>
            <w:r w:rsidR="00252A60" w:rsidRPr="002814DC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2814DC">
              <w:rPr>
                <w:sz w:val="24"/>
                <w:szCs w:val="24"/>
                <w:lang w:val="et-EE"/>
              </w:rPr>
              <w:t>(1 EAP võrdsustatakse 26 tunni tööga, sh iseseisev töö</w:t>
            </w:r>
            <w:r w:rsidR="00647D09" w:rsidRPr="002814DC">
              <w:rPr>
                <w:sz w:val="24"/>
                <w:szCs w:val="24"/>
                <w:lang w:val="et-EE"/>
              </w:rPr>
              <w:t>,</w:t>
            </w:r>
            <w:r w:rsidR="00252A60" w:rsidRPr="002814DC">
              <w:rPr>
                <w:sz w:val="24"/>
                <w:szCs w:val="24"/>
                <w:lang w:val="et-EE"/>
              </w:rPr>
              <w:t xml:space="preserve"> mis kulub näiteks praktikaaruande koostamisele</w:t>
            </w:r>
            <w:r w:rsidR="00FE4507" w:rsidRPr="002814DC">
              <w:rPr>
                <w:sz w:val="24"/>
                <w:szCs w:val="24"/>
                <w:lang w:val="et-EE"/>
              </w:rPr>
              <w:t>)</w:t>
            </w:r>
          </w:p>
        </w:tc>
      </w:tr>
      <w:tr w:rsidR="00252A60" w:rsidRPr="00535DA9" w:rsidTr="00AA70B1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2814DC" w:rsidRDefault="009020BA" w:rsidP="00AA70B1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2814DC">
              <w:rPr>
                <w:sz w:val="24"/>
                <w:szCs w:val="24"/>
                <w:lang w:val="et-EE"/>
              </w:rPr>
              <w:t>H</w:t>
            </w:r>
            <w:r w:rsidR="00252A60" w:rsidRPr="002814DC">
              <w:rPr>
                <w:sz w:val="24"/>
                <w:szCs w:val="24"/>
                <w:lang w:val="et-EE"/>
              </w:rPr>
              <w:t>indeline arvestus</w:t>
            </w:r>
          </w:p>
        </w:tc>
      </w:tr>
      <w:tr w:rsidR="00252A60" w:rsidRPr="008E30D4" w:rsidTr="00AA70B1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Pr="002B7550" w:rsidRDefault="002814DC" w:rsidP="002814DC">
            <w:pPr>
              <w:rPr>
                <w:szCs w:val="24"/>
                <w:lang w:val="et-EE"/>
              </w:rPr>
            </w:pPr>
            <w:r w:rsidRPr="002814DC">
              <w:rPr>
                <w:sz w:val="24"/>
                <w:szCs w:val="24"/>
                <w:lang w:val="et-EE"/>
              </w:rPr>
              <w:t>Erialapraktika II eesmärgiks on üliõpilaste erialaste teadmiste ja oskuste rakendamine praktilise töö kaudu; kogemuste ja oskuste omandamine, töötades mingil õppesuunale vastaval ametikohal; valmistumine lõputöö koostamiseks ja kaitsmiseks.</w:t>
            </w:r>
          </w:p>
        </w:tc>
      </w:tr>
      <w:tr w:rsidR="007E298F" w:rsidRPr="008E30D4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2B7550" w:rsidRDefault="002B7550" w:rsidP="002B7550">
            <w:pPr>
              <w:rPr>
                <w:rFonts w:ascii="Arial" w:hAnsi="Arial" w:cs="Arial"/>
                <w:color w:val="FF0000"/>
                <w:sz w:val="22"/>
                <w:szCs w:val="22"/>
                <w:lang w:val="et-EE"/>
              </w:rPr>
            </w:pPr>
            <w:r w:rsidRPr="008E30D4">
              <w:rPr>
                <w:sz w:val="24"/>
                <w:szCs w:val="24"/>
                <w:lang w:val="et-EE"/>
              </w:rPr>
              <w:t>Üliõpilane süven</w:t>
            </w:r>
            <w:r w:rsidR="008E30D4">
              <w:rPr>
                <w:sz w:val="24"/>
                <w:szCs w:val="24"/>
                <w:lang w:val="et-EE"/>
              </w:rPr>
              <w:t>dab kutsealaste teadmisi automa</w:t>
            </w:r>
            <w:r w:rsidRPr="008E30D4">
              <w:rPr>
                <w:sz w:val="24"/>
                <w:szCs w:val="24"/>
                <w:lang w:val="et-EE"/>
              </w:rPr>
              <w:t>atika ettevõtetes, omandab kogemusi tööülesannete täitmisel erinevates olukordades. Üliõpilane valdab erinevaid tootmistehnoloogiaid, töötab ohutult ja ratsionaalseid töövõtteid kasutades.</w:t>
            </w:r>
            <w:r w:rsidRPr="002B7550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</w:p>
        </w:tc>
      </w:tr>
      <w:tr w:rsidR="007E298F" w:rsidRPr="008E30D4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8E30D4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8E30D4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4" w:rsidRDefault="008E30D4" w:rsidP="008E30D4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  <w:r w:rsidRPr="005F203F">
              <w:rPr>
                <w:b w:val="0"/>
              </w:rPr>
              <w:t xml:space="preserve">Üliõpilane on läbinud kõik </w:t>
            </w:r>
            <w:r>
              <w:rPr>
                <w:b w:val="0"/>
              </w:rPr>
              <w:t xml:space="preserve">õppekavas olevad ained: </w:t>
            </w:r>
          </w:p>
          <w:p w:rsidR="00177C06" w:rsidRPr="00177C06" w:rsidRDefault="008E30D4" w:rsidP="008E30D4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0D4">
              <w:rPr>
                <w:b w:val="0"/>
              </w:rPr>
              <w:t>Üliõpilane omab süsteemset ülevaadet automaatikasüsteemide põhimõistetest, teoreetilistest printsiipidest ja uurimismeetoditest; oskab koostada erialaseid projekte ja neid realiseerida, tunneb automaatikaala arengusuundi ja piiranguid; oskab analüüsida automatiseerimise probleeme, valida ja kasutada sobivaid meetodeid nende lahendamiseks; oskab hinnata erialase tegevuse rolli ja tagajärgi ühiskonnale; on omandanud meeskonnatööoskused; oskab iseseisvalt informatsiooni koguda ja analüüsida; oskab ülesannete lahendamisel valida ja kasutada sobivaid tehnoloogiaid ning meetodeid.</w:t>
            </w:r>
          </w:p>
        </w:tc>
      </w:tr>
      <w:tr w:rsidR="00252A60" w:rsidRPr="00F61B0B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proofErr w:type="spellStart"/>
            <w:r w:rsidR="005E79E9" w:rsidRPr="006F4B12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="005E79E9" w:rsidRPr="006F4B12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proofErr w:type="spellStart"/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proofErr w:type="spellEnd"/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AA70B1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8E30D4" w:rsidTr="00AA70B1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4" w:rsidRPr="004F4C10" w:rsidRDefault="004F4C10" w:rsidP="00EB50C5">
            <w:pPr>
              <w:rPr>
                <w:rFonts w:ascii="Arial" w:hAnsi="Arial" w:cs="Arial"/>
                <w:sz w:val="22"/>
                <w:szCs w:val="22"/>
                <w:lang w:val="et-EE" w:eastAsia="et-EE"/>
              </w:rPr>
            </w:pPr>
            <w:r w:rsidRPr="00EB50C5">
              <w:rPr>
                <w:rFonts w:eastAsia="Calibri"/>
                <w:sz w:val="24"/>
                <w:szCs w:val="24"/>
                <w:lang w:val="et-EE"/>
              </w:rPr>
              <w:t>Üliõpilane t</w:t>
            </w:r>
            <w:r w:rsidR="00EB50C5">
              <w:rPr>
                <w:rFonts w:eastAsia="Calibri"/>
                <w:sz w:val="24"/>
                <w:szCs w:val="24"/>
                <w:lang w:val="et-EE"/>
              </w:rPr>
              <w:t>äidab</w:t>
            </w:r>
            <w:r w:rsidRPr="00EB50C5">
              <w:rPr>
                <w:rFonts w:eastAsia="Calibri"/>
                <w:sz w:val="24"/>
                <w:szCs w:val="24"/>
                <w:lang w:val="et-EE"/>
              </w:rPr>
              <w:t xml:space="preserve"> p</w:t>
            </w:r>
            <w:r w:rsidR="00EB50C5">
              <w:rPr>
                <w:rFonts w:eastAsia="Calibri"/>
                <w:sz w:val="24"/>
                <w:szCs w:val="24"/>
                <w:lang w:val="et-EE"/>
              </w:rPr>
              <w:t>raktikaaruand</w:t>
            </w:r>
            <w:r w:rsidRPr="00EB50C5">
              <w:rPr>
                <w:rFonts w:eastAsia="Calibri"/>
                <w:sz w:val="24"/>
                <w:szCs w:val="24"/>
                <w:lang w:val="et-EE"/>
              </w:rPr>
              <w:t>e praktikapäevikuga, mis sisaldab kõiki praktikaga seonduvaid materjale (nt juhendaja hinnanguvorm, joonised vms). Praktikapäevik on oma sisult analüütiline, keskendub ülesannetele ja praktikandi soorituse analüüsile, praktiliste tegevuste seos</w:t>
            </w:r>
            <w:r w:rsidR="00EB50C5">
              <w:rPr>
                <w:rFonts w:eastAsia="Calibri"/>
                <w:sz w:val="24"/>
                <w:szCs w:val="24"/>
                <w:lang w:val="et-EE"/>
              </w:rPr>
              <w:t>ele</w:t>
            </w:r>
            <w:r w:rsidRPr="00EB50C5">
              <w:rPr>
                <w:rFonts w:eastAsia="Calibri"/>
                <w:sz w:val="24"/>
                <w:szCs w:val="24"/>
                <w:lang w:val="et-EE"/>
              </w:rPr>
              <w:t xml:space="preserve"> teoreetilise materjaliga. Praktikapäevikus kajastuvad meeskonnatööga seonduvad aspektid ja tudengi hinnang iseendale meeskonna liikmena. Praktika hindamisel võetakse arvesse praktika ülesande täitmise tulemuslikkust</w:t>
            </w:r>
            <w:bookmarkStart w:id="0" w:name="2"/>
            <w:bookmarkEnd w:id="0"/>
            <w:r w:rsidRPr="00EB50C5">
              <w:rPr>
                <w:rFonts w:eastAsia="Calibri"/>
                <w:sz w:val="24"/>
                <w:szCs w:val="24"/>
                <w:lang w:val="et-EE"/>
              </w:rPr>
              <w:t xml:space="preserve"> (hinnangut praktika kohta)</w:t>
            </w:r>
            <w:r w:rsidR="00EB50C5">
              <w:rPr>
                <w:rFonts w:eastAsia="Calibri"/>
                <w:sz w:val="24"/>
                <w:szCs w:val="24"/>
                <w:lang w:val="et-EE"/>
              </w:rPr>
              <w:t xml:space="preserve"> </w:t>
            </w:r>
            <w:r w:rsidRPr="00EB50C5">
              <w:rPr>
                <w:rFonts w:eastAsia="Calibri"/>
                <w:sz w:val="24"/>
                <w:szCs w:val="24"/>
                <w:lang w:val="et-EE"/>
              </w:rPr>
              <w:t>-</w:t>
            </w:r>
            <w:r w:rsidR="00EB50C5">
              <w:rPr>
                <w:rFonts w:eastAsia="Calibri"/>
                <w:sz w:val="24"/>
                <w:szCs w:val="24"/>
                <w:lang w:val="et-EE"/>
              </w:rPr>
              <w:t xml:space="preserve"> </w:t>
            </w:r>
            <w:r w:rsidRPr="00EB50C5">
              <w:rPr>
                <w:rFonts w:eastAsia="Calibri"/>
                <w:sz w:val="24"/>
                <w:szCs w:val="24"/>
                <w:lang w:val="et-EE"/>
              </w:rPr>
              <w:t>50%; praktikaaruande kaitsmist -</w:t>
            </w:r>
            <w:r w:rsidR="00EB50C5">
              <w:rPr>
                <w:rFonts w:eastAsia="Calibri"/>
                <w:sz w:val="24"/>
                <w:szCs w:val="24"/>
                <w:lang w:val="et-EE"/>
              </w:rPr>
              <w:t xml:space="preserve"> </w:t>
            </w:r>
            <w:r w:rsidRPr="00EB50C5">
              <w:rPr>
                <w:rFonts w:eastAsia="Calibri"/>
                <w:sz w:val="24"/>
                <w:szCs w:val="24"/>
                <w:lang w:val="et-EE"/>
              </w:rPr>
              <w:t>50%</w:t>
            </w:r>
            <w:r w:rsidR="00EB50C5">
              <w:rPr>
                <w:rFonts w:eastAsia="Calibri"/>
                <w:sz w:val="24"/>
                <w:szCs w:val="24"/>
                <w:lang w:val="et-EE"/>
              </w:rPr>
              <w:t>.</w:t>
            </w:r>
          </w:p>
        </w:tc>
      </w:tr>
      <w:tr w:rsidR="00252A60" w:rsidRPr="008E30D4" w:rsidTr="00AA70B1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</w:t>
            </w:r>
            <w:r w:rsidR="00EB50C5">
              <w:rPr>
                <w:sz w:val="24"/>
                <w:szCs w:val="24"/>
                <w:lang w:val="et-EE"/>
              </w:rPr>
              <w:t xml:space="preserve"> vormistamise juhendi nõuetest</w:t>
            </w:r>
            <w:bookmarkStart w:id="1" w:name="_GoBack"/>
            <w:bookmarkEnd w:id="1"/>
            <w:r w:rsidRPr="00D401F4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AA70B1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AA70B1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2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105A97"/>
    <w:rsid w:val="00137F14"/>
    <w:rsid w:val="001564A7"/>
    <w:rsid w:val="00177C06"/>
    <w:rsid w:val="0019119A"/>
    <w:rsid w:val="001C499C"/>
    <w:rsid w:val="002311B2"/>
    <w:rsid w:val="00252A60"/>
    <w:rsid w:val="002814DC"/>
    <w:rsid w:val="002B7550"/>
    <w:rsid w:val="003423E0"/>
    <w:rsid w:val="003600F3"/>
    <w:rsid w:val="003E2C0B"/>
    <w:rsid w:val="00496A38"/>
    <w:rsid w:val="004F4C10"/>
    <w:rsid w:val="00586382"/>
    <w:rsid w:val="005E79E9"/>
    <w:rsid w:val="005F1D5D"/>
    <w:rsid w:val="00633C89"/>
    <w:rsid w:val="00647D09"/>
    <w:rsid w:val="0067348E"/>
    <w:rsid w:val="00693CDE"/>
    <w:rsid w:val="00697C55"/>
    <w:rsid w:val="006F4B12"/>
    <w:rsid w:val="007C7485"/>
    <w:rsid w:val="007E298F"/>
    <w:rsid w:val="008230E7"/>
    <w:rsid w:val="00855751"/>
    <w:rsid w:val="008D2310"/>
    <w:rsid w:val="008E30D4"/>
    <w:rsid w:val="008F0B6A"/>
    <w:rsid w:val="009020BA"/>
    <w:rsid w:val="00950E35"/>
    <w:rsid w:val="00965D76"/>
    <w:rsid w:val="00981A0C"/>
    <w:rsid w:val="00A667E4"/>
    <w:rsid w:val="00A83616"/>
    <w:rsid w:val="00B03A4E"/>
    <w:rsid w:val="00CC0362"/>
    <w:rsid w:val="00D401F4"/>
    <w:rsid w:val="00D50B6E"/>
    <w:rsid w:val="00DB0B7C"/>
    <w:rsid w:val="00DE29FB"/>
    <w:rsid w:val="00EA06A5"/>
    <w:rsid w:val="00EB50C5"/>
    <w:rsid w:val="00F04FA7"/>
    <w:rsid w:val="00F32BD3"/>
    <w:rsid w:val="00F9378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3B61918D</Template>
  <TotalTime>0</TotalTime>
  <Pages>3</Pages>
  <Words>816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2014-05-05T05:15:00Z</cp:lastPrinted>
  <dcterms:created xsi:type="dcterms:W3CDTF">2014-12-04T11:43:00Z</dcterms:created>
  <dcterms:modified xsi:type="dcterms:W3CDTF">2014-12-04T11:43:00Z</dcterms:modified>
</cp:coreProperties>
</file>