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5D671F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165A0F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CE1B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E032</w:t>
            </w:r>
            <w:r w:rsidR="00165A0F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0</w:t>
            </w:r>
            <w:r w:rsidR="006D6EAE"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</w:t>
            </w:r>
            <w:r w:rsidR="00237B1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Eriala</w:t>
            </w:r>
            <w:r w:rsidR="006D6EAE" w:rsidRPr="006D6E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praktika</w:t>
            </w:r>
            <w:r w:rsidR="00237B1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I</w:t>
            </w:r>
          </w:p>
        </w:tc>
      </w:tr>
      <w:tr w:rsidR="00252A60" w:rsidRPr="006E5F6B" w:rsidTr="005D671F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5D671F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6D6EAE" w:rsidRDefault="00827F3D" w:rsidP="00827F3D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12</w:t>
            </w:r>
            <w:r w:rsidR="006D6EAE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6D6EAE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6D6EAE">
              <w:rPr>
                <w:b/>
                <w:sz w:val="24"/>
                <w:szCs w:val="24"/>
                <w:lang w:val="et-EE"/>
              </w:rPr>
              <w:t xml:space="preserve">, </w:t>
            </w:r>
            <w:r>
              <w:rPr>
                <w:b/>
                <w:sz w:val="24"/>
                <w:szCs w:val="24"/>
                <w:lang w:val="et-EE"/>
              </w:rPr>
              <w:t>8</w:t>
            </w:r>
            <w:r w:rsidR="006D6EAE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  <w:r w:rsidR="00FE4507" w:rsidRPr="006D6EAE">
              <w:rPr>
                <w:b/>
                <w:sz w:val="24"/>
                <w:szCs w:val="24"/>
                <w:lang w:val="et-EE"/>
              </w:rPr>
              <w:t>nädala</w:t>
            </w:r>
            <w:r w:rsidR="00237B1E">
              <w:rPr>
                <w:b/>
                <w:sz w:val="24"/>
                <w:szCs w:val="24"/>
                <w:lang w:val="et-EE"/>
              </w:rPr>
              <w:t>t</w:t>
            </w:r>
            <w:r w:rsidR="00252A60" w:rsidRPr="006D6EAE">
              <w:rPr>
                <w:b/>
                <w:sz w:val="24"/>
                <w:szCs w:val="24"/>
                <w:lang w:val="et-EE"/>
              </w:rPr>
              <w:t xml:space="preserve"> </w:t>
            </w:r>
            <w:r w:rsidR="00D56340" w:rsidRPr="00F4360B">
              <w:rPr>
                <w:sz w:val="24"/>
                <w:szCs w:val="24"/>
                <w:lang w:val="et-EE"/>
              </w:rPr>
              <w:t>(1 EAP võrdsustatakse 26 tunni tööga, sh iseseisev töö, mis kulub näiteks praktikaaruande koostamisele)</w:t>
            </w:r>
          </w:p>
        </w:tc>
      </w:tr>
      <w:tr w:rsidR="00252A60" w:rsidRPr="00535DA9" w:rsidTr="005D671F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5D671F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6D6EAE" w:rsidRDefault="009020BA" w:rsidP="005D671F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6D6EAE">
              <w:rPr>
                <w:sz w:val="24"/>
                <w:szCs w:val="24"/>
                <w:lang w:val="et-EE"/>
              </w:rPr>
              <w:t>H</w:t>
            </w:r>
            <w:r w:rsidR="00252A60" w:rsidRPr="006D6EAE">
              <w:rPr>
                <w:sz w:val="24"/>
                <w:szCs w:val="24"/>
                <w:lang w:val="et-EE"/>
              </w:rPr>
              <w:t>indeline arvestus</w:t>
            </w:r>
          </w:p>
        </w:tc>
      </w:tr>
      <w:tr w:rsidR="00252A60" w:rsidRPr="00633BCF" w:rsidTr="005D671F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D56340" w:rsidRDefault="00CE1BAE" w:rsidP="006D6EAE">
            <w:pPr>
              <w:rPr>
                <w:sz w:val="24"/>
                <w:szCs w:val="24"/>
                <w:lang w:val="et-EE"/>
              </w:rPr>
            </w:pPr>
            <w:r w:rsidRPr="00CE1BAE">
              <w:rPr>
                <w:sz w:val="24"/>
                <w:szCs w:val="24"/>
                <w:lang w:val="et-EE"/>
              </w:rPr>
              <w:t>Anda ülevaade mehhanismide konstrueerimisest, masinaehitusest, keevitusest, mehhatroonikast, töötades energeetika-, kütuse-, keemiatööstuse, masinaehituse või remondiettevõttes.</w:t>
            </w:r>
          </w:p>
        </w:tc>
      </w:tr>
      <w:tr w:rsidR="007E298F" w:rsidRPr="006E5F6B" w:rsidTr="005D671F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CE1BAE" w:rsidRDefault="00CE1BAE" w:rsidP="005D671F">
            <w:pPr>
              <w:rPr>
                <w:sz w:val="24"/>
                <w:szCs w:val="24"/>
                <w:lang w:val="et-EE"/>
              </w:rPr>
            </w:pPr>
            <w:r w:rsidRPr="00CE1BAE">
              <w:rPr>
                <w:sz w:val="24"/>
                <w:szCs w:val="24"/>
                <w:lang w:val="et-EE"/>
              </w:rPr>
              <w:t>Üliõpilane (1) omandab praktilised oskused nelja põhilise keevi</w:t>
            </w:r>
            <w:r>
              <w:rPr>
                <w:sz w:val="24"/>
                <w:szCs w:val="24"/>
                <w:lang w:val="et-EE"/>
              </w:rPr>
              <w:t>tusprotsessi (MMA, MIG/MAG, TIG</w:t>
            </w:r>
            <w:r w:rsidRPr="00CE1BAE">
              <w:rPr>
                <w:sz w:val="24"/>
                <w:szCs w:val="24"/>
                <w:lang w:val="et-EE"/>
              </w:rPr>
              <w:t xml:space="preserve"> ja gaaskeevitus) juhtimise osas eesmärgiga vältida keevitusdefekte; (2) omandab CAD/CAM kaasaegsete süsteemide tundmise; lähtudes tarbija, tootmise, kvaliteedi- ja keskkonna nõuetest, oskab turu- ja tarbijaanalüüsi teha; (3) oskab tehnoloogilisi abivahendeid (tööriistad, rakised, stantsid, pressvormid jt) projekteerida.</w:t>
            </w:r>
          </w:p>
        </w:tc>
      </w:tr>
      <w:tr w:rsidR="007E298F" w:rsidRPr="006E5F6B" w:rsidTr="005D671F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5D671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 w:rsidRPr="005D671F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5D671F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0B" w:rsidRDefault="005D671F" w:rsidP="00724BC3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Üliõpilane on läbin</w:t>
            </w:r>
            <w:r w:rsidR="00724BC3" w:rsidRPr="00724BC3">
              <w:rPr>
                <w:b w:val="0"/>
                <w:color w:val="000000" w:themeColor="text1"/>
              </w:rPr>
              <w:t xml:space="preserve">ud </w:t>
            </w:r>
            <w:r w:rsidR="00724BC3">
              <w:rPr>
                <w:b w:val="0"/>
                <w:color w:val="000000" w:themeColor="text1"/>
              </w:rPr>
              <w:t>reaalainete ja graafika mooduli. O</w:t>
            </w:r>
            <w:r w:rsidR="00724BC3" w:rsidRPr="00724BC3">
              <w:rPr>
                <w:b w:val="0"/>
                <w:color w:val="000000" w:themeColor="text1"/>
              </w:rPr>
              <w:t>mab teadmisi matemaatikast, tehnilisest füüsikast ning i</w:t>
            </w:r>
            <w:r w:rsidR="00724BC3">
              <w:rPr>
                <w:b w:val="0"/>
                <w:color w:val="000000" w:themeColor="text1"/>
              </w:rPr>
              <w:t xml:space="preserve">nfotehnoloogiast </w:t>
            </w:r>
            <w:r>
              <w:rPr>
                <w:b w:val="0"/>
                <w:color w:val="000000" w:themeColor="text1"/>
              </w:rPr>
              <w:t xml:space="preserve">vajalikus </w:t>
            </w:r>
            <w:r w:rsidR="00724BC3">
              <w:rPr>
                <w:b w:val="0"/>
                <w:color w:val="000000" w:themeColor="text1"/>
              </w:rPr>
              <w:t>sisus ja mahus,</w:t>
            </w:r>
            <w:r w:rsidR="00724BC3" w:rsidRPr="00724BC3">
              <w:rPr>
                <w:b w:val="0"/>
                <w:color w:val="000000" w:themeColor="text1"/>
              </w:rPr>
              <w:t xml:space="preserve"> oskab erinevatel teadusaladel probleeme kirjeldada, analüüsida, lahendada ja tulemusi interpreteerida.</w:t>
            </w:r>
            <w:r w:rsidR="00724BC3">
              <w:rPr>
                <w:b w:val="0"/>
                <w:color w:val="000000" w:themeColor="text1"/>
              </w:rPr>
              <w:t xml:space="preserve"> O</w:t>
            </w:r>
            <w:r w:rsidR="00724BC3" w:rsidRPr="00724BC3">
              <w:rPr>
                <w:b w:val="0"/>
                <w:color w:val="000000" w:themeColor="text1"/>
              </w:rPr>
              <w:t>skab kasutada insenerigraafika-alaseid mõisteid ning nende rakendusi; kasutada loogilist ja analüütilist mõtlemist ning süsteemset lähenemist ruumigeomeetriliste ülesannete lahen</w:t>
            </w:r>
            <w:r w:rsidR="00724BC3">
              <w:rPr>
                <w:b w:val="0"/>
                <w:color w:val="000000" w:themeColor="text1"/>
              </w:rPr>
              <w:t xml:space="preserve">damisel kujutiste/jooniste abil. </w:t>
            </w:r>
            <w:r w:rsidR="00724BC3" w:rsidRPr="00724BC3">
              <w:rPr>
                <w:b w:val="0"/>
                <w:color w:val="000000" w:themeColor="text1"/>
              </w:rPr>
              <w:t>Teab, kuidas on seotud toodete valmistamistolerantsid erinevate valmistustehnoloogiatega ning kuidas koostada tehnilist dokumentatsiooni detailide/koostude valmistamiseks.</w:t>
            </w:r>
          </w:p>
          <w:p w:rsidR="00724BC3" w:rsidRPr="00724BC3" w:rsidRDefault="00724BC3" w:rsidP="001725E1">
            <w:pPr>
              <w:pStyle w:val="Pevakorrapunkt"/>
              <w:numPr>
                <w:ilvl w:val="0"/>
                <w:numId w:val="0"/>
              </w:numPr>
              <w:spacing w:before="0" w:after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Samuti on läbit</w:t>
            </w:r>
            <w:r w:rsidR="005D671F">
              <w:rPr>
                <w:b w:val="0"/>
                <w:color w:val="000000" w:themeColor="text1"/>
              </w:rPr>
              <w:t>ud õppe-ja töökeskkonnapraktika</w:t>
            </w:r>
            <w:r>
              <w:rPr>
                <w:b w:val="0"/>
                <w:color w:val="000000" w:themeColor="text1"/>
              </w:rPr>
              <w:t xml:space="preserve">. </w:t>
            </w:r>
            <w:r w:rsidR="005A3508">
              <w:rPr>
                <w:b w:val="0"/>
                <w:color w:val="000000" w:themeColor="text1"/>
              </w:rPr>
              <w:t>Tunneb p</w:t>
            </w:r>
            <w:r w:rsidRPr="00724BC3">
              <w:rPr>
                <w:b w:val="0"/>
                <w:color w:val="000000" w:themeColor="text1"/>
              </w:rPr>
              <w:t>õhiliste tehnoloogiaprotsesside ja -seadmete ning mat</w:t>
            </w:r>
            <w:r w:rsidR="005A3508">
              <w:rPr>
                <w:b w:val="0"/>
                <w:color w:val="000000" w:themeColor="text1"/>
              </w:rPr>
              <w:t>erjalide töötlemist</w:t>
            </w:r>
            <w:r w:rsidRPr="00724BC3">
              <w:rPr>
                <w:b w:val="0"/>
                <w:color w:val="000000" w:themeColor="text1"/>
              </w:rPr>
              <w:t xml:space="preserve"> seostatuna </w:t>
            </w:r>
            <w:r w:rsidRPr="006E5F6B">
              <w:rPr>
                <w:b w:val="0"/>
                <w:color w:val="000000" w:themeColor="text1"/>
              </w:rPr>
              <w:t>metalliõpetuse ja termotöötluse alustega</w:t>
            </w:r>
            <w:r w:rsidR="005A3508" w:rsidRPr="006E5F6B">
              <w:rPr>
                <w:b w:val="0"/>
                <w:color w:val="000000" w:themeColor="text1"/>
              </w:rPr>
              <w:t xml:space="preserve">. On läbinud ka </w:t>
            </w:r>
            <w:r w:rsidR="001725E1" w:rsidRPr="006E5F6B">
              <w:rPr>
                <w:b w:val="0"/>
                <w:color w:val="000000" w:themeColor="text1"/>
              </w:rPr>
              <w:t>üldtehniliste ainete mooduli</w:t>
            </w:r>
            <w:r w:rsidR="005A3508" w:rsidRPr="006E5F6B">
              <w:rPr>
                <w:b w:val="0"/>
                <w:color w:val="000000" w:themeColor="text1"/>
              </w:rPr>
              <w:t>. Üliõpilane</w:t>
            </w:r>
            <w:r w:rsidR="005A3508" w:rsidRPr="005A3508">
              <w:rPr>
                <w:b w:val="0"/>
                <w:color w:val="000000" w:themeColor="text1"/>
              </w:rPr>
              <w:t xml:space="preserve"> oskab lahendada erinevaid insenerimehaanikaa</w:t>
            </w:r>
            <w:r w:rsidR="005D671F">
              <w:rPr>
                <w:b w:val="0"/>
                <w:color w:val="000000" w:themeColor="text1"/>
              </w:rPr>
              <w:t>laseid probleemülesandeid,</w:t>
            </w:r>
            <w:r w:rsidR="005A3508" w:rsidRPr="005A3508">
              <w:rPr>
                <w:b w:val="0"/>
                <w:color w:val="000000" w:themeColor="text1"/>
              </w:rPr>
              <w:t xml:space="preserve"> kontrollid</w:t>
            </w:r>
            <w:r w:rsidR="005A3508">
              <w:rPr>
                <w:b w:val="0"/>
                <w:color w:val="000000" w:themeColor="text1"/>
              </w:rPr>
              <w:t>a süsteemi elementide seisundit,</w:t>
            </w:r>
            <w:r w:rsidR="005A3508" w:rsidRPr="005A3508">
              <w:rPr>
                <w:b w:val="0"/>
                <w:color w:val="000000" w:themeColor="text1"/>
              </w:rPr>
              <w:t xml:space="preserve"> tunneb tänapäevaste materjalide valmis</w:t>
            </w:r>
            <w:r w:rsidR="005A3508">
              <w:rPr>
                <w:b w:val="0"/>
                <w:color w:val="000000" w:themeColor="text1"/>
              </w:rPr>
              <w:t>tamis- ja töötlemistehnoloogiat.</w:t>
            </w:r>
          </w:p>
        </w:tc>
      </w:tr>
      <w:tr w:rsidR="00252A60" w:rsidRPr="00F61B0B" w:rsidTr="005D671F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5D671F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5D671F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5D671F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r w:rsidR="005E79E9" w:rsidRPr="006F4B12">
              <w:rPr>
                <w:sz w:val="24"/>
                <w:szCs w:val="24"/>
                <w:lang w:val="et-EE"/>
              </w:rPr>
              <w:t>Erasmuse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5D671F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5D671F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5D671F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5D671F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5D671F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68" w:rsidRDefault="004C3268" w:rsidP="005D671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Hindamismeetod 1. </w:t>
            </w:r>
            <w:r w:rsidR="0028153E"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Püsti</w:t>
            </w:r>
            <w:r w:rsid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tatud ülesande projektaruanne (väljundid 1, 2, 3)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„5“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Oskab analüüsida probleeme ja hinnata oma lahendusi.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Vigu ei ole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.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Esitab hästi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vormistatud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projektaruannet.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Probleemi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püstitus ja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lahendamise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metoodika on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olemas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„4“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Sama, mis 5, kuid teadmistes esinevad üksikud ebatäpsused.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Esitab häst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i vormistatud projektaruannet. Probleemi püstitus ja lahendamise metoodika on olemas. Esinevad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vead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„3“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tuletuses esinevad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vead ja 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. Olemas tegevusaruanne, saab probleemist aru, aga asinevad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„2“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esinevad mõningaid vead. Tegevuse aruanne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olemas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28153E" w:rsidRDefault="001725E1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„1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</w:t>
            </w:r>
            <w:r w:rsidR="006E5F6B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,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kuid esineb palju vigu. Tegevuse aruanne on tehtud ebakorrektselt või on vähe materjali.</w:t>
            </w:r>
          </w:p>
          <w:p w:rsidR="001725E1" w:rsidRPr="00687A1C" w:rsidRDefault="001725E1" w:rsidP="0028153E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val="et-EE"/>
              </w:rPr>
            </w:pP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Hindamismeetod 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>2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lang w:val="et-EE"/>
              </w:rPr>
              <w:t xml:space="preserve">. 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Hindeline arvestus (väljundid 1, 2, 3)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„5“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Omandab suurepäraselt teadmist ettekane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esitades.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„4“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Sama, mis 5, kuid teadmistes esinevad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üksikud 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„3“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tuletuses esinevad vead ja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ebatäpsused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.</w:t>
            </w:r>
          </w:p>
          <w:p w:rsidR="004C3268" w:rsidRPr="0028153E" w:rsidRDefault="0028153E" w:rsidP="0028153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</w:pP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„2“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- Teab materjali kuid </w:t>
            </w:r>
            <w:r w:rsidRPr="0028153E"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>esinevad mõningaid vead.</w:t>
            </w:r>
          </w:p>
          <w:p w:rsidR="00D401F4" w:rsidRPr="00A01300" w:rsidRDefault="001725E1" w:rsidP="001725E1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FF0000"/>
                <w:sz w:val="24"/>
                <w:szCs w:val="24"/>
                <w:lang w:val="et-EE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Hinne „1</w:t>
            </w:r>
            <w:r w:rsidRPr="0028153E">
              <w:rPr>
                <w:rFonts w:eastAsia="Calibri"/>
                <w:b/>
                <w:color w:val="000000" w:themeColor="text1"/>
                <w:sz w:val="24"/>
                <w:szCs w:val="24"/>
                <w:u w:val="single"/>
                <w:lang w:val="et-EE"/>
              </w:rPr>
              <w:t>“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et-EE"/>
              </w:rPr>
              <w:t xml:space="preserve"> – Sama, mis 2, kuid esineb palju vigu ning aruanne on ebakorrektne.</w:t>
            </w:r>
          </w:p>
        </w:tc>
      </w:tr>
      <w:tr w:rsidR="00252A60" w:rsidRPr="006E5F6B" w:rsidTr="005D671F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5D671F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5D671F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5D671F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5D671F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 vormistamise juhendi nõuetest (</w:t>
            </w:r>
            <w:r w:rsidRPr="00D401F4">
              <w:rPr>
                <w:i/>
                <w:sz w:val="24"/>
                <w:szCs w:val="24"/>
                <w:lang w:val="et-EE"/>
              </w:rPr>
              <w:t>lisada link/viide juhendile</w:t>
            </w:r>
            <w:r w:rsidRPr="00D401F4">
              <w:rPr>
                <w:sz w:val="24"/>
                <w:szCs w:val="24"/>
                <w:lang w:val="et-EE"/>
              </w:rPr>
              <w:t>).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5D671F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5D671F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5D671F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5D671F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5D671F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5D671F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5D671F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5D671F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5D671F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5D671F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5D671F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5D671F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5D671F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5D671F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BEC5065"/>
    <w:multiLevelType w:val="hybridMultilevel"/>
    <w:tmpl w:val="9B50BF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9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3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5"/>
  </w:num>
  <w:num w:numId="11">
    <w:abstractNumId w:val="1"/>
  </w:num>
  <w:num w:numId="12">
    <w:abstractNumId w:val="11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105A97"/>
    <w:rsid w:val="00137F14"/>
    <w:rsid w:val="001564A7"/>
    <w:rsid w:val="00165A0F"/>
    <w:rsid w:val="001725E1"/>
    <w:rsid w:val="0019119A"/>
    <w:rsid w:val="001C499C"/>
    <w:rsid w:val="002311B2"/>
    <w:rsid w:val="00237B1E"/>
    <w:rsid w:val="00242B11"/>
    <w:rsid w:val="00252A60"/>
    <w:rsid w:val="0028153E"/>
    <w:rsid w:val="002E0169"/>
    <w:rsid w:val="003423E0"/>
    <w:rsid w:val="003600F3"/>
    <w:rsid w:val="003E2C0B"/>
    <w:rsid w:val="00435E0B"/>
    <w:rsid w:val="00496A38"/>
    <w:rsid w:val="004A14C9"/>
    <w:rsid w:val="004C3268"/>
    <w:rsid w:val="00553B5D"/>
    <w:rsid w:val="00586382"/>
    <w:rsid w:val="005A3508"/>
    <w:rsid w:val="005D671F"/>
    <w:rsid w:val="005E79E9"/>
    <w:rsid w:val="005F1D5D"/>
    <w:rsid w:val="0064724D"/>
    <w:rsid w:val="00647D09"/>
    <w:rsid w:val="0067348E"/>
    <w:rsid w:val="00687A1C"/>
    <w:rsid w:val="00693CDE"/>
    <w:rsid w:val="00697C55"/>
    <w:rsid w:val="006D6EAE"/>
    <w:rsid w:val="006E5F6B"/>
    <w:rsid w:val="006F4B12"/>
    <w:rsid w:val="00724BC3"/>
    <w:rsid w:val="007C7485"/>
    <w:rsid w:val="007C769C"/>
    <w:rsid w:val="007E298F"/>
    <w:rsid w:val="008230E7"/>
    <w:rsid w:val="00827F3D"/>
    <w:rsid w:val="00855751"/>
    <w:rsid w:val="008D2310"/>
    <w:rsid w:val="008F0B6A"/>
    <w:rsid w:val="009020BA"/>
    <w:rsid w:val="00965D76"/>
    <w:rsid w:val="00981A0C"/>
    <w:rsid w:val="00A01300"/>
    <w:rsid w:val="00A014F4"/>
    <w:rsid w:val="00A3563A"/>
    <w:rsid w:val="00A667E4"/>
    <w:rsid w:val="00C10BC1"/>
    <w:rsid w:val="00CC0362"/>
    <w:rsid w:val="00CE1BAE"/>
    <w:rsid w:val="00D401F4"/>
    <w:rsid w:val="00D50B6E"/>
    <w:rsid w:val="00D56340"/>
    <w:rsid w:val="00DB0B7C"/>
    <w:rsid w:val="00EA06A5"/>
    <w:rsid w:val="00EC2DA6"/>
    <w:rsid w:val="00F04FA7"/>
    <w:rsid w:val="00F13AD4"/>
    <w:rsid w:val="00F32BD3"/>
    <w:rsid w:val="00F62422"/>
    <w:rsid w:val="00F93781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8E37-C64E-4730-8753-4DBC717E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36A3365F</Template>
  <TotalTime>0</TotalTime>
  <Pages>3</Pages>
  <Words>990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2014-09-10T09:50:00Z</cp:lastPrinted>
  <dcterms:created xsi:type="dcterms:W3CDTF">2014-09-16T11:23:00Z</dcterms:created>
  <dcterms:modified xsi:type="dcterms:W3CDTF">2014-09-16T11:23:00Z</dcterms:modified>
</cp:coreProperties>
</file>