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066443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0A2B01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DF1A0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872692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R282</w:t>
            </w:r>
            <w:r w:rsidR="00DF1A0D" w:rsidRPr="00DF1A0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0 </w:t>
            </w:r>
            <w:r w:rsidR="000A2B0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Töökeskkonna </w:t>
            </w:r>
            <w:r w:rsidR="00DF1A0D" w:rsidRPr="00DF1A0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praktika</w:t>
            </w:r>
          </w:p>
        </w:tc>
      </w:tr>
      <w:tr w:rsidR="00252A60" w:rsidRPr="0005264C" w:rsidTr="00066443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066443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14366D" w:rsidRDefault="00872692" w:rsidP="00FE45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12</w:t>
            </w:r>
            <w:r w:rsidR="0014366D" w:rsidRPr="0014366D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14366D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14366D">
              <w:rPr>
                <w:b/>
                <w:sz w:val="24"/>
                <w:szCs w:val="24"/>
                <w:lang w:val="et-EE"/>
              </w:rPr>
              <w:t xml:space="preserve">, </w:t>
            </w:r>
            <w:r>
              <w:rPr>
                <w:b/>
                <w:sz w:val="24"/>
                <w:szCs w:val="24"/>
                <w:lang w:val="et-EE"/>
              </w:rPr>
              <w:t>8</w:t>
            </w:r>
            <w:r w:rsidR="00FE4507" w:rsidRPr="0014366D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14366D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14366D">
              <w:rPr>
                <w:sz w:val="24"/>
                <w:szCs w:val="24"/>
                <w:lang w:val="et-EE"/>
              </w:rPr>
              <w:t>(1 EAP võrdsustatakse 26 tunni tööga, sh iseseisev töö</w:t>
            </w:r>
            <w:r w:rsidR="00647D09" w:rsidRPr="0014366D">
              <w:rPr>
                <w:sz w:val="24"/>
                <w:szCs w:val="24"/>
                <w:lang w:val="et-EE"/>
              </w:rPr>
              <w:t>,</w:t>
            </w:r>
            <w:r w:rsidR="00252A60" w:rsidRPr="0014366D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 w:rsidRPr="0014366D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535DA9" w:rsidTr="00066443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066443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14366D" w:rsidRDefault="00872692" w:rsidP="0014366D">
            <w:pPr>
              <w:spacing w:line="360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Hindeline a</w:t>
            </w:r>
            <w:r w:rsidR="009020BA" w:rsidRPr="0014366D">
              <w:rPr>
                <w:sz w:val="24"/>
                <w:szCs w:val="24"/>
                <w:lang w:val="et-EE"/>
              </w:rPr>
              <w:t>rvestus</w:t>
            </w:r>
          </w:p>
        </w:tc>
      </w:tr>
      <w:tr w:rsidR="00252A60" w:rsidRPr="0005264C" w:rsidTr="00066443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0A2B01" w:rsidRDefault="000A2B01" w:rsidP="00C42E98">
            <w:pPr>
              <w:rPr>
                <w:szCs w:val="24"/>
                <w:lang w:val="et-EE"/>
              </w:rPr>
            </w:pPr>
            <w:r w:rsidRPr="000A2B01">
              <w:rPr>
                <w:sz w:val="24"/>
                <w:szCs w:val="24"/>
                <w:lang w:val="et-EE"/>
              </w:rPr>
              <w:t>Töökeskkonna praktika eesmärgiks on anda praktikandile võimalus koguda töökogemust omandataval erialal või sellega lähedalt seotud alal ja arendada nii professionaalseid oskusi kui ka oma võimeid ja isikuomadusi.</w:t>
            </w:r>
          </w:p>
        </w:tc>
      </w:tr>
      <w:tr w:rsidR="007E298F" w:rsidRPr="0005264C" w:rsidTr="00066443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C30F07" w:rsidRDefault="00C30F07" w:rsidP="00066443">
            <w:pPr>
              <w:rPr>
                <w:sz w:val="24"/>
                <w:szCs w:val="24"/>
                <w:lang w:val="et-EE"/>
              </w:rPr>
            </w:pPr>
            <w:r w:rsidRPr="00C30F07">
              <w:rPr>
                <w:sz w:val="24"/>
                <w:szCs w:val="24"/>
                <w:lang w:val="et-EE"/>
              </w:rPr>
              <w:t>Praktika läbinud tunneb ettevõtte struktuuri, tegevusalasid, partnereid; teab töökeskkonnaohutuse nõudeid; oskab kirjeldada ja analüüsida ettevõttes/ettevõtte struktuuriüksuses kasutatavaid tehnoloogiaid, seadmeid, analüüside metoodikaid, töövahendeid, protsessijuhtimist; oskab töötada dokumentatsiooniga; suudab täita erinevaid tööülesandeid, tagades nõutava töökvaliteedi, kasutades ohutuid ja ratsionaalseid töövõtteid; omab kollektiivis töötamise oskusi.</w:t>
            </w:r>
          </w:p>
        </w:tc>
      </w:tr>
      <w:tr w:rsidR="007E298F" w:rsidRPr="00066443" w:rsidTr="00066443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0D30E9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 w:rsidRPr="000D30E9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0D30E9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066443" w:rsidP="00066443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 w:rsidRPr="00066443">
              <w:rPr>
                <w:b w:val="0"/>
              </w:rPr>
              <w:t xml:space="preserve">On läbitud </w:t>
            </w:r>
            <w:r>
              <w:rPr>
                <w:b w:val="0"/>
              </w:rPr>
              <w:t>tutvumispraktika, instrumentaalanalüüs, keemiatehnoloogia alused, kütusetööstuse protsessid ja seadmed, kütuste keemia ja tehnoloogia, põlevkivi</w:t>
            </w:r>
            <w:r w:rsidR="0005264C">
              <w:rPr>
                <w:b w:val="0"/>
              </w:rPr>
              <w:t xml:space="preserve"> </w:t>
            </w:r>
            <w:r>
              <w:rPr>
                <w:b w:val="0"/>
              </w:rPr>
              <w:t>keemia ja tehnoloogia, polümeeride keemia ja füüsika, tootmisautomaatika.</w:t>
            </w:r>
          </w:p>
          <w:p w:rsidR="00066443" w:rsidRDefault="00066443" w:rsidP="00066443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Õpiväljundid:</w:t>
            </w:r>
          </w:p>
          <w:p w:rsidR="00066443" w:rsidRDefault="00066443" w:rsidP="00066443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 w:rsidRPr="00066443">
              <w:rPr>
                <w:b w:val="0"/>
              </w:rPr>
              <w:t>tunneb tüüpilisi keemiatehno</w:t>
            </w:r>
            <w:r w:rsidR="0005264C">
              <w:rPr>
                <w:b w:val="0"/>
              </w:rPr>
              <w:t>loogia protsesse ning seadmeid;</w:t>
            </w:r>
          </w:p>
          <w:p w:rsidR="00066443" w:rsidRDefault="00066443" w:rsidP="00066443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 w:rsidRPr="00066443">
              <w:rPr>
                <w:b w:val="0"/>
              </w:rPr>
              <w:t>oskab analüüsida ja põhjendada protsesside tehnoloogilise režiimi parameetreid,</w:t>
            </w:r>
            <w:r w:rsidR="0005264C">
              <w:rPr>
                <w:b w:val="0"/>
              </w:rPr>
              <w:t xml:space="preserve"> nende mõju toote kvaliteedile;</w:t>
            </w:r>
          </w:p>
          <w:p w:rsidR="00066443" w:rsidRDefault="00066443" w:rsidP="00066443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 w:rsidRPr="00066443">
              <w:rPr>
                <w:b w:val="0"/>
              </w:rPr>
              <w:t>oskab hinnata tehnoloogilisi protsesse toorainete, vee ja energia kasutamise efektiivsuse ning keskkonnaohutuse ja majandus</w:t>
            </w:r>
            <w:r w:rsidR="0005264C">
              <w:rPr>
                <w:b w:val="0"/>
              </w:rPr>
              <w:t>likku otstarbekuse seisukohalt;</w:t>
            </w:r>
          </w:p>
          <w:p w:rsidR="000D30E9" w:rsidRDefault="000D30E9" w:rsidP="000D30E9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 w:rsidRPr="00066443">
              <w:rPr>
                <w:b w:val="0"/>
              </w:rPr>
              <w:t>tunneb tahkete, vedelate ja gaasiliste kütuste keemilist koostist ja orienteerub nende töö</w:t>
            </w:r>
            <w:r w:rsidR="0005264C">
              <w:rPr>
                <w:b w:val="0"/>
              </w:rPr>
              <w:t>tlemistehnoloogiate valdkonnas;</w:t>
            </w:r>
          </w:p>
          <w:p w:rsidR="000D30E9" w:rsidRDefault="000D30E9" w:rsidP="000D30E9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 w:rsidRPr="00066443">
              <w:rPr>
                <w:b w:val="0"/>
              </w:rPr>
              <w:t>oskab kirjeldada põlevkivide keemilist koostist, töötlemisviise ja selleks kasutatavaid põhiaparaate ning protsesside keemilisi aluseid;</w:t>
            </w:r>
          </w:p>
          <w:p w:rsidR="00066443" w:rsidRDefault="00066443" w:rsidP="00066443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 w:rsidRPr="00066443">
              <w:rPr>
                <w:b w:val="0"/>
              </w:rPr>
              <w:t>tunneb tüüpilisi kütusetö</w:t>
            </w:r>
            <w:r>
              <w:rPr>
                <w:b w:val="0"/>
              </w:rPr>
              <w:t>östuse protsesse ning seadmeid;</w:t>
            </w:r>
          </w:p>
          <w:p w:rsidR="000D30E9" w:rsidRDefault="000D30E9" w:rsidP="00066443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 w:rsidRPr="00066443">
              <w:rPr>
                <w:b w:val="0"/>
              </w:rPr>
              <w:t xml:space="preserve">oskab teostada </w:t>
            </w:r>
            <w:r>
              <w:rPr>
                <w:b w:val="0"/>
              </w:rPr>
              <w:t xml:space="preserve">lihtsaid </w:t>
            </w:r>
            <w:r w:rsidRPr="00066443">
              <w:rPr>
                <w:b w:val="0"/>
              </w:rPr>
              <w:t>tehnoloogilisi arvutusi;</w:t>
            </w:r>
          </w:p>
          <w:p w:rsidR="00066443" w:rsidRDefault="00066443" w:rsidP="00066443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 w:rsidRPr="00066443">
              <w:rPr>
                <w:b w:val="0"/>
              </w:rPr>
              <w:t>omab keemiaettevõttes/fir</w:t>
            </w:r>
            <w:r>
              <w:rPr>
                <w:b w:val="0"/>
              </w:rPr>
              <w:t>mas/laboris töötamise kogemust;</w:t>
            </w:r>
          </w:p>
          <w:p w:rsidR="00066443" w:rsidRPr="00066443" w:rsidRDefault="00066443" w:rsidP="000D30E9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 w:rsidRPr="00066443">
              <w:rPr>
                <w:b w:val="0"/>
              </w:rPr>
              <w:t>on valmis meeskonnatööks.</w:t>
            </w:r>
          </w:p>
        </w:tc>
      </w:tr>
      <w:tr w:rsidR="00252A60" w:rsidRPr="00F61B0B" w:rsidTr="00066443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066443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066443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066443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lastRenderedPageBreak/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066443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066443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066443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67348E" w:rsidTr="00066443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066443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47" w:rsidRDefault="00167E47" w:rsidP="00167E47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  <w:u w:val="single"/>
                <w:lang w:val="et-EE"/>
              </w:rPr>
              <w:t>PRAKTIKADOKUMENDID</w:t>
            </w:r>
            <w:r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 xml:space="preserve"> (praktikaleping, praktikakoha juhendaja hinnanguvorm</w:t>
            </w:r>
            <w:r w:rsidR="0005264C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, praktikaaruanne) on esitatud.</w:t>
            </w:r>
          </w:p>
          <w:p w:rsidR="00404D3B" w:rsidRDefault="00404D3B" w:rsidP="00167E47">
            <w:pPr>
              <w:pStyle w:val="ListParagraph"/>
              <w:ind w:left="0"/>
              <w:rPr>
                <w:sz w:val="24"/>
                <w:szCs w:val="24"/>
                <w:u w:val="single"/>
                <w:lang w:val="et-EE"/>
              </w:rPr>
            </w:pPr>
          </w:p>
          <w:p w:rsidR="00167E47" w:rsidRDefault="00167E47" w:rsidP="00167E47">
            <w:pPr>
              <w:pStyle w:val="ListParagraph"/>
              <w:ind w:left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u w:val="single"/>
                <w:lang w:val="et-EE"/>
              </w:rPr>
              <w:t>PRAKTIKA ARUANNE</w:t>
            </w:r>
            <w:r>
              <w:rPr>
                <w:sz w:val="24"/>
                <w:szCs w:val="24"/>
                <w:lang w:val="et-EE"/>
              </w:rPr>
              <w:t>:</w:t>
            </w:r>
          </w:p>
          <w:p w:rsidR="00167E47" w:rsidRDefault="00167E47" w:rsidP="00167E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Praktikakoha valik ja praktika eesmärgid on aruandes määratletud.</w:t>
            </w:r>
          </w:p>
          <w:p w:rsidR="00167E47" w:rsidRDefault="00167E47" w:rsidP="00167E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Esitatud aruande struktuur vastab üldjoontes praktika juhendis toodule ning aruande tervikvormistus vastab kirjalike tööde vormistamise nõuetele.</w:t>
            </w:r>
          </w:p>
          <w:p w:rsidR="00167E47" w:rsidRDefault="00167E47" w:rsidP="00167E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Praktikaettevõtte struktuur, tegevusalad</w:t>
            </w:r>
            <w:r w:rsidR="00CE6535">
              <w:rPr>
                <w:sz w:val="24"/>
                <w:szCs w:val="24"/>
                <w:lang w:val="et-EE"/>
              </w:rPr>
              <w:t>, partnerid</w:t>
            </w:r>
            <w:r>
              <w:rPr>
                <w:sz w:val="24"/>
                <w:szCs w:val="24"/>
                <w:lang w:val="et-EE"/>
              </w:rPr>
              <w:t xml:space="preserve"> on kirjeldatud.</w:t>
            </w:r>
          </w:p>
          <w:p w:rsidR="00404D3B" w:rsidRDefault="00404D3B" w:rsidP="00167E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*</w:t>
            </w:r>
            <w:r w:rsidR="00167E47" w:rsidRPr="00404D3B">
              <w:rPr>
                <w:sz w:val="24"/>
                <w:szCs w:val="24"/>
                <w:lang w:val="et-EE"/>
              </w:rPr>
              <w:t>Ettevõttes/ettevõtte struktuuriüksuses kasutatav tehnolo</w:t>
            </w:r>
            <w:r w:rsidR="00CE6535" w:rsidRPr="00404D3B">
              <w:rPr>
                <w:sz w:val="24"/>
                <w:szCs w:val="24"/>
                <w:lang w:val="et-EE"/>
              </w:rPr>
              <w:t>ogia, põhiseadmed</w:t>
            </w:r>
            <w:r w:rsidR="00167E47" w:rsidRPr="00404D3B">
              <w:rPr>
                <w:sz w:val="24"/>
                <w:szCs w:val="24"/>
                <w:lang w:val="et-EE"/>
              </w:rPr>
              <w:t xml:space="preserve"> on kirjeldatud.</w:t>
            </w:r>
            <w:r w:rsidR="00CE6535" w:rsidRPr="00404D3B">
              <w:rPr>
                <w:sz w:val="24"/>
                <w:szCs w:val="24"/>
                <w:lang w:val="et-EE"/>
              </w:rPr>
              <w:t xml:space="preserve"> Tehnoloogia analüüs on tehtud.</w:t>
            </w:r>
            <w:r w:rsidRPr="00404D3B">
              <w:rPr>
                <w:sz w:val="24"/>
                <w:szCs w:val="24"/>
                <w:lang w:val="et-EE"/>
              </w:rPr>
              <w:t xml:space="preserve"> </w:t>
            </w:r>
            <w:r w:rsidR="00B370F9">
              <w:rPr>
                <w:sz w:val="24"/>
                <w:szCs w:val="24"/>
                <w:lang w:val="et-EE"/>
              </w:rPr>
              <w:t>keskkonnar</w:t>
            </w:r>
            <w:r w:rsidRPr="00404D3B">
              <w:rPr>
                <w:sz w:val="24"/>
                <w:szCs w:val="24"/>
                <w:lang w:val="et-EE"/>
              </w:rPr>
              <w:t>iskid on välja toodud.</w:t>
            </w:r>
            <w:r w:rsidR="00CE6535" w:rsidRPr="00404D3B">
              <w:rPr>
                <w:sz w:val="24"/>
                <w:szCs w:val="24"/>
                <w:lang w:val="et-EE"/>
              </w:rPr>
              <w:t xml:space="preserve"> Protsessijuhtimine on kirjeldatud.</w:t>
            </w:r>
            <w:r w:rsidRPr="00404D3B">
              <w:rPr>
                <w:sz w:val="24"/>
                <w:szCs w:val="24"/>
                <w:lang w:val="et-EE"/>
              </w:rPr>
              <w:t xml:space="preserve"> </w:t>
            </w:r>
          </w:p>
          <w:p w:rsidR="00CE6535" w:rsidRPr="00404D3B" w:rsidRDefault="00404D3B" w:rsidP="00167E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**</w:t>
            </w:r>
            <w:r w:rsidR="00CE6535" w:rsidRPr="00404D3B">
              <w:rPr>
                <w:sz w:val="24"/>
                <w:szCs w:val="24"/>
                <w:lang w:val="et-EE"/>
              </w:rPr>
              <w:t>Analüüside metoodikad, töövahendid, analüüsiseadmete ehitus ja tööprintsiip on kirjeldatud. Proovide võtmise kohad tehnoloogilisel skeemil on toodud.</w:t>
            </w:r>
            <w:r w:rsidRPr="00404D3B">
              <w:rPr>
                <w:sz w:val="24"/>
                <w:szCs w:val="24"/>
                <w:lang w:val="et-EE"/>
              </w:rPr>
              <w:t xml:space="preserve"> </w:t>
            </w:r>
            <w:r w:rsidR="00B370F9">
              <w:rPr>
                <w:sz w:val="24"/>
                <w:szCs w:val="24"/>
                <w:lang w:val="et-EE"/>
              </w:rPr>
              <w:t>Keskkonnar</w:t>
            </w:r>
            <w:r w:rsidRPr="00404D3B">
              <w:rPr>
                <w:sz w:val="24"/>
                <w:szCs w:val="24"/>
                <w:lang w:val="et-EE"/>
              </w:rPr>
              <w:t>iskid on kirjeldatud.</w:t>
            </w:r>
          </w:p>
          <w:p w:rsidR="00167E47" w:rsidRDefault="00167E47" w:rsidP="00167E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Üliõpilane oskab praktika tulemuste põhjal teha järeldusi, andes hinnangu enda tööülesannetega toimetulekule ja töö tulemile.</w:t>
            </w:r>
          </w:p>
          <w:p w:rsidR="00167E47" w:rsidRDefault="00167E47" w:rsidP="00167E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Üliõpilane annab hinnangu oma teoreetilise ja praktilise ettevalmistuse tasemele praktika sooritamiseks ning hinnangu enesearengule - uutele teadmistele ja oskustele, mis praktika käigus sai omandatud.</w:t>
            </w:r>
          </w:p>
          <w:p w:rsidR="00167E47" w:rsidRDefault="00167E47" w:rsidP="00167E4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Läbitud praktika vastab kestuselt praktikajuhendis nõutule.</w:t>
            </w:r>
          </w:p>
          <w:p w:rsidR="00404D3B" w:rsidRPr="00B370F9" w:rsidRDefault="00404D3B" w:rsidP="00404D3B">
            <w:pPr>
              <w:rPr>
                <w:lang w:val="et-EE"/>
              </w:rPr>
            </w:pPr>
            <w:r w:rsidRPr="00B370F9">
              <w:rPr>
                <w:lang w:val="et-EE"/>
              </w:rPr>
              <w:t>*Kui praktikakohaks oli tööstusettevõtte tootmisallüksus (seade, tsehh jm)</w:t>
            </w:r>
          </w:p>
          <w:p w:rsidR="00404D3B" w:rsidRPr="00B370F9" w:rsidRDefault="00404D3B" w:rsidP="00404D3B">
            <w:pPr>
              <w:rPr>
                <w:lang w:val="et-EE"/>
              </w:rPr>
            </w:pPr>
            <w:r w:rsidRPr="00B370F9">
              <w:rPr>
                <w:lang w:val="et-EE"/>
              </w:rPr>
              <w:t xml:space="preserve">**Kui praktikakohaks oli labor (tööstusettevõtte labor, teaduslabor jm) </w:t>
            </w:r>
          </w:p>
          <w:p w:rsidR="00404D3B" w:rsidRDefault="00404D3B" w:rsidP="00167E47">
            <w:pPr>
              <w:pStyle w:val="ListParagraph"/>
              <w:ind w:left="0"/>
              <w:rPr>
                <w:sz w:val="24"/>
                <w:szCs w:val="24"/>
                <w:u w:val="single"/>
                <w:lang w:val="et-EE"/>
              </w:rPr>
            </w:pPr>
          </w:p>
          <w:p w:rsidR="00167E47" w:rsidRDefault="00167E47" w:rsidP="00167E47">
            <w:pPr>
              <w:pStyle w:val="ListParagraph"/>
              <w:ind w:left="0"/>
              <w:rPr>
                <w:sz w:val="24"/>
                <w:szCs w:val="24"/>
                <w:u w:val="single"/>
                <w:lang w:val="et-EE"/>
              </w:rPr>
            </w:pPr>
            <w:r>
              <w:rPr>
                <w:sz w:val="24"/>
                <w:szCs w:val="24"/>
                <w:u w:val="single"/>
                <w:lang w:val="et-EE"/>
              </w:rPr>
              <w:t>PRAKTIKAARUANDE KAITSMINE</w:t>
            </w:r>
          </w:p>
          <w:p w:rsidR="00404D3B" w:rsidRDefault="00167E47" w:rsidP="00167E4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Praktikaaruande kaitsmine on toimunud praktikakuraatori ja rühmakaaslaste ees akadeemilise esitluse vormis (10-15 minutit).</w:t>
            </w:r>
          </w:p>
          <w:p w:rsidR="00167E47" w:rsidRDefault="00167E47" w:rsidP="00167E4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Üliõpilane kasutab esitlusel korrektset erialast terminoloogiat, esitlus </w:t>
            </w:r>
            <w:r>
              <w:rPr>
                <w:sz w:val="24"/>
                <w:szCs w:val="24"/>
                <w:lang w:val="et-EE"/>
              </w:rPr>
              <w:lastRenderedPageBreak/>
              <w:t xml:space="preserve">on ülevaatlik ja arusaadav, keskendudes eelkõige ülaltoodud punktide </w:t>
            </w:r>
            <w:r w:rsidR="00404D3B">
              <w:rPr>
                <w:sz w:val="24"/>
                <w:szCs w:val="24"/>
                <w:lang w:val="et-EE"/>
              </w:rPr>
              <w:t>6 ja 7</w:t>
            </w:r>
            <w:r>
              <w:rPr>
                <w:sz w:val="24"/>
                <w:szCs w:val="24"/>
                <w:lang w:val="et-EE"/>
              </w:rPr>
              <w:t xml:space="preserve"> sisule.</w:t>
            </w:r>
          </w:p>
          <w:p w:rsidR="00404D3B" w:rsidRPr="0005264C" w:rsidRDefault="00404D3B" w:rsidP="00CE65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  <w:lang w:val="et-EE"/>
              </w:rPr>
            </w:pPr>
          </w:p>
          <w:p w:rsidR="00CE6535" w:rsidRPr="00404D3B" w:rsidRDefault="00404D3B" w:rsidP="00CE65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404D3B">
              <w:rPr>
                <w:bCs/>
                <w:sz w:val="24"/>
                <w:szCs w:val="24"/>
                <w:u w:val="single"/>
              </w:rPr>
              <w:t>HINDAMINE</w:t>
            </w:r>
          </w:p>
          <w:p w:rsidR="005B1439" w:rsidRPr="0005264C" w:rsidRDefault="00CE6535" w:rsidP="00CE653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t-EE"/>
              </w:rPr>
            </w:pPr>
            <w:proofErr w:type="spellStart"/>
            <w:r w:rsidRPr="00404D3B">
              <w:rPr>
                <w:b/>
                <w:bCs/>
                <w:sz w:val="24"/>
                <w:szCs w:val="24"/>
              </w:rPr>
              <w:t>Lävend</w:t>
            </w:r>
            <w:proofErr w:type="spellEnd"/>
            <w:r w:rsidRPr="00404D3B">
              <w:rPr>
                <w:sz w:val="24"/>
                <w:szCs w:val="24"/>
                <w:lang w:val="et-EE"/>
              </w:rPr>
              <w:t xml:space="preserve"> </w:t>
            </w:r>
            <w:r w:rsidRPr="00404D3B">
              <w:rPr>
                <w:sz w:val="24"/>
                <w:szCs w:val="24"/>
                <w:lang w:val="et-EE"/>
              </w:rPr>
              <w:br/>
              <w:t>Üliõpilane on kaitsmiseks ette valmistanud kaitsekõne ja esitlusmaterjali</w:t>
            </w:r>
            <w:r w:rsidR="005B1439">
              <w:rPr>
                <w:sz w:val="24"/>
                <w:szCs w:val="24"/>
                <w:lang w:val="et-EE"/>
              </w:rPr>
              <w:t>.</w:t>
            </w:r>
            <w:r w:rsidRPr="00404D3B">
              <w:rPr>
                <w:sz w:val="24"/>
                <w:szCs w:val="24"/>
                <w:lang w:val="et-EE"/>
              </w:rPr>
              <w:br/>
            </w:r>
            <w:r w:rsidR="005B1439" w:rsidRPr="0005264C">
              <w:rPr>
                <w:b/>
                <w:bCs/>
                <w:sz w:val="24"/>
                <w:szCs w:val="24"/>
                <w:lang w:val="et-EE"/>
              </w:rPr>
              <w:t>Hinne „1“</w:t>
            </w:r>
            <w:r w:rsidR="005B1439" w:rsidRPr="00404D3B">
              <w:rPr>
                <w:sz w:val="24"/>
                <w:szCs w:val="24"/>
                <w:lang w:val="et-EE"/>
              </w:rPr>
              <w:br/>
              <w:t xml:space="preserve">Üliõpilase kaitsekõne pole kooskõlas ajaraamidega, kaitsja jääb hätta </w:t>
            </w:r>
            <w:r w:rsidR="005B1439">
              <w:rPr>
                <w:sz w:val="24"/>
                <w:szCs w:val="24"/>
                <w:lang w:val="et-EE"/>
              </w:rPr>
              <w:t>praktikakuraatori</w:t>
            </w:r>
            <w:r w:rsidR="005B1439" w:rsidRPr="00404D3B">
              <w:rPr>
                <w:sz w:val="24"/>
                <w:szCs w:val="24"/>
                <w:lang w:val="et-EE"/>
              </w:rPr>
              <w:t xml:space="preserve"> </w:t>
            </w:r>
            <w:r w:rsidR="005B1439">
              <w:rPr>
                <w:sz w:val="24"/>
                <w:szCs w:val="24"/>
                <w:lang w:val="et-EE"/>
              </w:rPr>
              <w:t>ja kuulajate</w:t>
            </w:r>
            <w:r w:rsidR="005B1439" w:rsidRPr="00404D3B">
              <w:rPr>
                <w:sz w:val="24"/>
                <w:szCs w:val="24"/>
                <w:lang w:val="et-EE"/>
              </w:rPr>
              <w:t xml:space="preserve"> küsimustele vastamisel. Esitlusmaterjal on ebapiisav.</w:t>
            </w:r>
          </w:p>
          <w:p w:rsidR="005B1439" w:rsidRDefault="00CE6535" w:rsidP="00CE6535">
            <w:pPr>
              <w:autoSpaceDE w:val="0"/>
              <w:autoSpaceDN w:val="0"/>
              <w:adjustRightInd w:val="0"/>
              <w:rPr>
                <w:sz w:val="24"/>
                <w:szCs w:val="24"/>
                <w:lang w:val="et-EE"/>
              </w:rPr>
            </w:pPr>
            <w:r w:rsidRPr="0005264C">
              <w:rPr>
                <w:b/>
                <w:bCs/>
                <w:sz w:val="24"/>
                <w:szCs w:val="24"/>
                <w:lang w:val="et-EE"/>
              </w:rPr>
              <w:t>Hinne „2“</w:t>
            </w:r>
            <w:r w:rsidRPr="00404D3B">
              <w:rPr>
                <w:sz w:val="24"/>
                <w:szCs w:val="24"/>
                <w:lang w:val="et-EE"/>
              </w:rPr>
              <w:br/>
              <w:t>Üliõpilase kaitsekõne pole kooskõlas ajaraamidega, kaitsja</w:t>
            </w:r>
            <w:r w:rsidR="005B1439">
              <w:rPr>
                <w:sz w:val="24"/>
                <w:szCs w:val="24"/>
                <w:lang w:val="et-EE"/>
              </w:rPr>
              <w:t xml:space="preserve"> osaliselt</w:t>
            </w:r>
            <w:r w:rsidRPr="00404D3B">
              <w:rPr>
                <w:sz w:val="24"/>
                <w:szCs w:val="24"/>
                <w:lang w:val="et-EE"/>
              </w:rPr>
              <w:t xml:space="preserve"> jääb hätta küsimustele vastamisel. Esitlusmaterjal on ebapiisav.</w:t>
            </w:r>
          </w:p>
          <w:p w:rsidR="00D401F4" w:rsidRPr="00D50B6E" w:rsidRDefault="00CE6535" w:rsidP="00B370F9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B0F0"/>
                <w:sz w:val="24"/>
                <w:szCs w:val="24"/>
                <w:lang w:val="et-EE"/>
              </w:rPr>
            </w:pPr>
            <w:r w:rsidRPr="005B1439">
              <w:rPr>
                <w:b/>
                <w:bCs/>
                <w:sz w:val="24"/>
                <w:szCs w:val="24"/>
                <w:lang w:val="et-EE"/>
              </w:rPr>
              <w:t>Hinne „3“</w:t>
            </w:r>
            <w:r w:rsidRPr="00404D3B">
              <w:rPr>
                <w:sz w:val="24"/>
                <w:szCs w:val="24"/>
                <w:lang w:val="et-EE"/>
              </w:rPr>
              <w:br/>
              <w:t xml:space="preserve">Üliõpilase kaitsekõne on ammendav ja aja piires, kaitsja vastab küsimustele üldjoontes, kuid vastustes jäävad ebatäpsused. Esitlusmaterjal on piisav, </w:t>
            </w:r>
            <w:r w:rsidR="00404D3B">
              <w:rPr>
                <w:sz w:val="24"/>
                <w:szCs w:val="24"/>
                <w:lang w:val="et-EE"/>
              </w:rPr>
              <w:t xml:space="preserve">kuid </w:t>
            </w:r>
            <w:r w:rsidRPr="00404D3B">
              <w:rPr>
                <w:sz w:val="24"/>
                <w:szCs w:val="24"/>
                <w:lang w:val="et-EE"/>
              </w:rPr>
              <w:t>esinevad ebatäpsused.</w:t>
            </w:r>
            <w:r w:rsidRPr="00404D3B">
              <w:rPr>
                <w:sz w:val="24"/>
                <w:szCs w:val="24"/>
                <w:lang w:val="et-EE"/>
              </w:rPr>
              <w:br/>
            </w:r>
            <w:r w:rsidRPr="00B370F9">
              <w:rPr>
                <w:b/>
                <w:bCs/>
                <w:sz w:val="24"/>
                <w:szCs w:val="24"/>
                <w:lang w:val="et-EE"/>
              </w:rPr>
              <w:t>Hinne „4“</w:t>
            </w:r>
            <w:r w:rsidRPr="00404D3B">
              <w:rPr>
                <w:sz w:val="24"/>
                <w:szCs w:val="24"/>
                <w:lang w:val="et-EE"/>
              </w:rPr>
              <w:br/>
            </w:r>
            <w:r w:rsidR="00B370F9" w:rsidRPr="00404D3B">
              <w:rPr>
                <w:sz w:val="24"/>
                <w:szCs w:val="24"/>
                <w:lang w:val="et-EE"/>
              </w:rPr>
              <w:t>Üliõpilase kaitsekõne on ammendav ja aja piires</w:t>
            </w:r>
            <w:r w:rsidR="00B370F9">
              <w:rPr>
                <w:sz w:val="24"/>
                <w:szCs w:val="24"/>
                <w:lang w:val="et-EE"/>
              </w:rPr>
              <w:t>.</w:t>
            </w:r>
            <w:r w:rsidR="00B370F9" w:rsidRPr="00404D3B">
              <w:rPr>
                <w:sz w:val="24"/>
                <w:szCs w:val="24"/>
                <w:lang w:val="et-EE"/>
              </w:rPr>
              <w:t xml:space="preserve"> </w:t>
            </w:r>
            <w:r w:rsidRPr="00404D3B">
              <w:rPr>
                <w:sz w:val="24"/>
                <w:szCs w:val="24"/>
                <w:lang w:val="et-EE"/>
              </w:rPr>
              <w:t>Üliõpilane suudab selgelt välja tuua praktika käigus tehtud töö tulemused, kaitsja vastab küsimustele rahuldavalt. Esitlusmaterjal vastab hea tava nõuetele.</w:t>
            </w:r>
            <w:r w:rsidRPr="00404D3B">
              <w:rPr>
                <w:sz w:val="24"/>
                <w:szCs w:val="24"/>
                <w:lang w:val="et-EE"/>
              </w:rPr>
              <w:br/>
            </w:r>
            <w:r w:rsidRPr="00B370F9">
              <w:rPr>
                <w:b/>
                <w:bCs/>
                <w:sz w:val="24"/>
                <w:szCs w:val="24"/>
                <w:lang w:val="et-EE"/>
              </w:rPr>
              <w:t>Hinne „5“</w:t>
            </w:r>
            <w:r w:rsidRPr="00404D3B">
              <w:rPr>
                <w:sz w:val="24"/>
                <w:szCs w:val="24"/>
                <w:lang w:val="et-EE"/>
              </w:rPr>
              <w:br/>
            </w:r>
            <w:r w:rsidR="00B370F9" w:rsidRPr="00404D3B">
              <w:rPr>
                <w:sz w:val="24"/>
                <w:szCs w:val="24"/>
                <w:lang w:val="et-EE"/>
              </w:rPr>
              <w:t>Üliõpilase kaitsekõne on ammendav ja aja piires</w:t>
            </w:r>
            <w:r w:rsidR="00B370F9">
              <w:rPr>
                <w:sz w:val="24"/>
                <w:szCs w:val="24"/>
                <w:lang w:val="et-EE"/>
              </w:rPr>
              <w:t>.</w:t>
            </w:r>
            <w:r w:rsidR="00B370F9" w:rsidRPr="00404D3B">
              <w:rPr>
                <w:sz w:val="24"/>
                <w:szCs w:val="24"/>
                <w:lang w:val="et-EE"/>
              </w:rPr>
              <w:t xml:space="preserve"> </w:t>
            </w:r>
            <w:r w:rsidRPr="00404D3B">
              <w:rPr>
                <w:sz w:val="24"/>
                <w:szCs w:val="24"/>
                <w:lang w:val="et-EE"/>
              </w:rPr>
              <w:t>Üliõpilane suudab selgelt välja tuua praktika käigus tehtud töö tulemused ja eneseanalüüsi tulemusena veenvalt sõnastada praktika käigus õpitud kogemusi. Kaitsja vastab küsimustele ja suudab argumenteerida ning kaitsta oma seisukohti. Esit</w:t>
            </w:r>
            <w:r w:rsidR="0005264C">
              <w:rPr>
                <w:sz w:val="24"/>
                <w:szCs w:val="24"/>
                <w:lang w:val="et-EE"/>
              </w:rPr>
              <w:t>lusmaterjal on veatu ja veenev.</w:t>
            </w:r>
          </w:p>
        </w:tc>
      </w:tr>
      <w:tr w:rsidR="00252A60" w:rsidRPr="0005264C" w:rsidTr="00066443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066443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066443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066443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066443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066443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066443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066443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066443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066443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066443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066443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066443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066443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066443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066443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066443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066443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066443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BDB45E6"/>
    <w:multiLevelType w:val="hybridMultilevel"/>
    <w:tmpl w:val="7CE84A24"/>
    <w:lvl w:ilvl="0" w:tplc="7B886E66">
      <w:start w:val="1"/>
      <w:numFmt w:val="decimal"/>
      <w:lvlText w:val="%1."/>
      <w:lvlJc w:val="left"/>
      <w:pPr>
        <w:ind w:left="984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951DFC"/>
    <w:multiLevelType w:val="hybridMultilevel"/>
    <w:tmpl w:val="A776D59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03DDC"/>
    <w:multiLevelType w:val="hybridMultilevel"/>
    <w:tmpl w:val="E7F08FB8"/>
    <w:lvl w:ilvl="0" w:tplc="7B886E66">
      <w:start w:val="1"/>
      <w:numFmt w:val="decimal"/>
      <w:lvlText w:val="%1."/>
      <w:lvlJc w:val="left"/>
      <w:pPr>
        <w:ind w:left="984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5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17"/>
  </w:num>
  <w:num w:numId="11">
    <w:abstractNumId w:val="1"/>
  </w:num>
  <w:num w:numId="12">
    <w:abstractNumId w:val="13"/>
  </w:num>
  <w:num w:numId="13">
    <w:abstractNumId w:val="15"/>
  </w:num>
  <w:num w:numId="14">
    <w:abstractNumId w:val="6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5264C"/>
    <w:rsid w:val="00066443"/>
    <w:rsid w:val="000A2B01"/>
    <w:rsid w:val="000A6108"/>
    <w:rsid w:val="000D30E9"/>
    <w:rsid w:val="00105A97"/>
    <w:rsid w:val="00137F14"/>
    <w:rsid w:val="0014366D"/>
    <w:rsid w:val="00154F4A"/>
    <w:rsid w:val="001564A7"/>
    <w:rsid w:val="00167E47"/>
    <w:rsid w:val="0019119A"/>
    <w:rsid w:val="001C499C"/>
    <w:rsid w:val="002311B2"/>
    <w:rsid w:val="00252A60"/>
    <w:rsid w:val="003600F3"/>
    <w:rsid w:val="003E2C0B"/>
    <w:rsid w:val="00404D3B"/>
    <w:rsid w:val="004342FA"/>
    <w:rsid w:val="00496A38"/>
    <w:rsid w:val="004B320B"/>
    <w:rsid w:val="00586382"/>
    <w:rsid w:val="005B1439"/>
    <w:rsid w:val="005E79E9"/>
    <w:rsid w:val="00647D09"/>
    <w:rsid w:val="0067348E"/>
    <w:rsid w:val="00693CDE"/>
    <w:rsid w:val="00697C55"/>
    <w:rsid w:val="006F4B12"/>
    <w:rsid w:val="007855A4"/>
    <w:rsid w:val="007C7485"/>
    <w:rsid w:val="007D00B6"/>
    <w:rsid w:val="007E298F"/>
    <w:rsid w:val="008230E7"/>
    <w:rsid w:val="00855751"/>
    <w:rsid w:val="00862FF4"/>
    <w:rsid w:val="00872692"/>
    <w:rsid w:val="00881C5B"/>
    <w:rsid w:val="008B4F4B"/>
    <w:rsid w:val="008B59D2"/>
    <w:rsid w:val="008D2310"/>
    <w:rsid w:val="008F0B6A"/>
    <w:rsid w:val="009020BA"/>
    <w:rsid w:val="00965D76"/>
    <w:rsid w:val="00981A0C"/>
    <w:rsid w:val="00A667E4"/>
    <w:rsid w:val="00B370F9"/>
    <w:rsid w:val="00B7018D"/>
    <w:rsid w:val="00C04BBE"/>
    <w:rsid w:val="00C30F07"/>
    <w:rsid w:val="00C42E98"/>
    <w:rsid w:val="00C90009"/>
    <w:rsid w:val="00CC0362"/>
    <w:rsid w:val="00CE6535"/>
    <w:rsid w:val="00D401F4"/>
    <w:rsid w:val="00D50B6E"/>
    <w:rsid w:val="00DB0B7C"/>
    <w:rsid w:val="00DD0E63"/>
    <w:rsid w:val="00DF1A0D"/>
    <w:rsid w:val="00EA06A5"/>
    <w:rsid w:val="00F04FA7"/>
    <w:rsid w:val="00F32BD3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E6535"/>
    <w:rPr>
      <w:b/>
      <w:bCs/>
    </w:rPr>
  </w:style>
  <w:style w:type="character" w:styleId="Emphasis">
    <w:name w:val="Emphasis"/>
    <w:basedOn w:val="DefaultParagraphFont"/>
    <w:uiPriority w:val="20"/>
    <w:qFormat/>
    <w:rsid w:val="00CE65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E6535"/>
    <w:rPr>
      <w:b/>
      <w:bCs/>
    </w:rPr>
  </w:style>
  <w:style w:type="character" w:styleId="Emphasis">
    <w:name w:val="Emphasis"/>
    <w:basedOn w:val="DefaultParagraphFont"/>
    <w:uiPriority w:val="20"/>
    <w:qFormat/>
    <w:rsid w:val="00CE6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6811322A</Template>
  <TotalTime>1</TotalTime>
  <Pages>4</Pages>
  <Words>1224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2014-09-16T11:31:00Z</dcterms:created>
  <dcterms:modified xsi:type="dcterms:W3CDTF">2014-09-16T11:31:00Z</dcterms:modified>
</cp:coreProperties>
</file>