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AA70B1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752A0F" w:rsidRDefault="00252A60" w:rsidP="007B5BA8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F57F49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076C92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R2513</w:t>
            </w:r>
            <w:r w:rsidR="00F57F49" w:rsidRPr="00F57F49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 </w:t>
            </w:r>
            <w:r w:rsidR="00076C92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Eriala</w:t>
            </w:r>
            <w:r w:rsidR="00F57F49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praktika</w:t>
            </w:r>
            <w:r w:rsidR="00076C92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 I</w:t>
            </w:r>
          </w:p>
        </w:tc>
      </w:tr>
      <w:tr w:rsidR="00252A60" w:rsidRPr="002F65A1" w:rsidTr="00AA70B1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A54961" w:rsidRDefault="00A54961" w:rsidP="00FE450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A54961">
              <w:rPr>
                <w:b/>
                <w:sz w:val="24"/>
                <w:szCs w:val="24"/>
                <w:lang w:val="et-EE"/>
              </w:rPr>
              <w:t xml:space="preserve">12 </w:t>
            </w:r>
            <w:r w:rsidR="00252A60" w:rsidRPr="00A54961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A54961">
              <w:rPr>
                <w:b/>
                <w:sz w:val="24"/>
                <w:szCs w:val="24"/>
                <w:lang w:val="et-EE"/>
              </w:rPr>
              <w:t xml:space="preserve">, </w:t>
            </w:r>
            <w:r w:rsidRPr="00A54961">
              <w:rPr>
                <w:b/>
                <w:sz w:val="24"/>
                <w:szCs w:val="24"/>
                <w:lang w:val="et-EE"/>
              </w:rPr>
              <w:t>8</w:t>
            </w:r>
            <w:r w:rsidR="00FE4507" w:rsidRPr="00A54961">
              <w:rPr>
                <w:b/>
                <w:sz w:val="24"/>
                <w:szCs w:val="24"/>
                <w:lang w:val="et-EE"/>
              </w:rPr>
              <w:t xml:space="preserve"> nädalat</w:t>
            </w:r>
            <w:r w:rsidR="00252A60" w:rsidRPr="00A54961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A54961">
              <w:rPr>
                <w:sz w:val="24"/>
                <w:szCs w:val="24"/>
                <w:lang w:val="et-EE"/>
              </w:rPr>
              <w:t>(1 EAP võrdsustatakse 26 tunni tööga, sh iseseisev töö</w:t>
            </w:r>
            <w:r w:rsidR="00647D09" w:rsidRPr="00A54961">
              <w:rPr>
                <w:sz w:val="24"/>
                <w:szCs w:val="24"/>
                <w:lang w:val="et-EE"/>
              </w:rPr>
              <w:t>,</w:t>
            </w:r>
            <w:r w:rsidR="00252A60" w:rsidRPr="00A54961">
              <w:rPr>
                <w:sz w:val="24"/>
                <w:szCs w:val="24"/>
                <w:lang w:val="et-EE"/>
              </w:rPr>
              <w:t xml:space="preserve"> mis kulub näiteks praktikaaruande koostamisele</w:t>
            </w:r>
            <w:r w:rsidR="00FE4507" w:rsidRPr="00A54961">
              <w:rPr>
                <w:sz w:val="24"/>
                <w:szCs w:val="24"/>
                <w:lang w:val="et-EE"/>
              </w:rPr>
              <w:t>)</w:t>
            </w:r>
          </w:p>
        </w:tc>
      </w:tr>
      <w:tr w:rsidR="00252A60" w:rsidRPr="00535DA9" w:rsidTr="00AA70B1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A54961" w:rsidRDefault="006B4AB7" w:rsidP="006B4AB7">
            <w:pPr>
              <w:spacing w:line="360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Hindeline a</w:t>
            </w:r>
            <w:r w:rsidR="009020BA" w:rsidRPr="00A54961">
              <w:rPr>
                <w:sz w:val="24"/>
                <w:szCs w:val="24"/>
                <w:lang w:val="et-EE"/>
              </w:rPr>
              <w:t>rvestus</w:t>
            </w:r>
          </w:p>
        </w:tc>
      </w:tr>
      <w:tr w:rsidR="00252A60" w:rsidRPr="002F65A1" w:rsidTr="00AA70B1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Pr="006B4AB7" w:rsidRDefault="006B4AB7" w:rsidP="00A54961">
            <w:pPr>
              <w:rPr>
                <w:szCs w:val="24"/>
                <w:lang w:val="et-EE"/>
              </w:rPr>
            </w:pPr>
            <w:r w:rsidRPr="006B4AB7">
              <w:rPr>
                <w:sz w:val="24"/>
                <w:szCs w:val="24"/>
                <w:lang w:val="et-EE"/>
              </w:rPr>
              <w:t>Erialaste teadmiste ja oskuste rakendamine tegelikus tööolukorras, omandatud teadmiste kinnistamine meeskonnatöö oskuste kujundamiseks, töötulemuste vormistamine ja kaitsmine; tööülesannete täitmine erinevates olukordades rõhuasetusega tööde kvaliteedile; ratsionaalsete ja õigete töövõtete valdamine; isikuomaduste ja hoiakute järjekindel kujundamine.</w:t>
            </w:r>
          </w:p>
        </w:tc>
      </w:tr>
      <w:tr w:rsidR="007E298F" w:rsidRPr="00A54961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A54961" w:rsidRDefault="006B4AB7" w:rsidP="00AA70B1">
            <w:pPr>
              <w:rPr>
                <w:sz w:val="24"/>
                <w:szCs w:val="24"/>
                <w:lang w:val="et-EE"/>
              </w:rPr>
            </w:pPr>
            <w:r w:rsidRPr="006B4AB7">
              <w:rPr>
                <w:sz w:val="24"/>
                <w:szCs w:val="24"/>
                <w:lang w:val="et-EE"/>
              </w:rPr>
              <w:t xml:space="preserve">Üliõpilane </w:t>
            </w:r>
            <w:r w:rsidR="00B021B6">
              <w:rPr>
                <w:sz w:val="24"/>
                <w:szCs w:val="24"/>
                <w:lang w:val="et-EE"/>
              </w:rPr>
              <w:t xml:space="preserve">(1) </w:t>
            </w:r>
            <w:r w:rsidRPr="006B4AB7">
              <w:rPr>
                <w:sz w:val="24"/>
                <w:szCs w:val="24"/>
                <w:lang w:val="et-EE"/>
              </w:rPr>
              <w:t xml:space="preserve">oskab kasutada õppetöös omandatud teadmisi ja oskusi praktikas; </w:t>
            </w:r>
            <w:r w:rsidR="00B021B6">
              <w:rPr>
                <w:sz w:val="24"/>
                <w:szCs w:val="24"/>
                <w:lang w:val="et-EE"/>
              </w:rPr>
              <w:t xml:space="preserve">(2) </w:t>
            </w:r>
            <w:r w:rsidRPr="006B4AB7">
              <w:rPr>
                <w:sz w:val="24"/>
                <w:szCs w:val="24"/>
                <w:lang w:val="et-EE"/>
              </w:rPr>
              <w:t xml:space="preserve">oskab valida õige lahenduse ülesande (ülesannete) lahendamiseks; </w:t>
            </w:r>
            <w:r w:rsidR="00B021B6">
              <w:rPr>
                <w:sz w:val="24"/>
                <w:szCs w:val="24"/>
                <w:lang w:val="et-EE"/>
              </w:rPr>
              <w:t xml:space="preserve">(3) </w:t>
            </w:r>
            <w:r w:rsidRPr="006B4AB7">
              <w:rPr>
                <w:sz w:val="24"/>
                <w:szCs w:val="24"/>
                <w:lang w:val="et-EE"/>
              </w:rPr>
              <w:t>omandab meeskonnatöö kogemuse. Üliõpilasel on tekkinud vastutustunne tehtud tööde kvaliteedi ja töötulemuste osas.</w:t>
            </w:r>
          </w:p>
        </w:tc>
      </w:tr>
      <w:tr w:rsidR="007E298F" w:rsidRPr="002F65A1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7B5BA8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7B5BA8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35" w:rsidRPr="00B10735" w:rsidRDefault="009F1CAD" w:rsidP="00B10735">
            <w:pPr>
              <w:rPr>
                <w:sz w:val="24"/>
                <w:lang w:val="et-EE"/>
              </w:rPr>
            </w:pPr>
            <w:r>
              <w:rPr>
                <w:b/>
                <w:bCs/>
                <w:sz w:val="24"/>
                <w:lang w:val="et-EE"/>
              </w:rPr>
              <w:t>Üliõpilane on läbinud üld- ja erialaained</w:t>
            </w:r>
            <w:r w:rsidR="005B6A6A" w:rsidRPr="00B10735">
              <w:rPr>
                <w:b/>
                <w:bCs/>
                <w:sz w:val="24"/>
                <w:lang w:val="et-EE"/>
              </w:rPr>
              <w:t>, sh energiasüsteemide moodul</w:t>
            </w:r>
            <w:r w:rsidR="00A3418C">
              <w:rPr>
                <w:b/>
                <w:bCs/>
                <w:sz w:val="24"/>
                <w:lang w:val="et-EE"/>
              </w:rPr>
              <w:t>i</w:t>
            </w:r>
            <w:r>
              <w:rPr>
                <w:b/>
                <w:bCs/>
                <w:sz w:val="24"/>
                <w:lang w:val="et-EE"/>
              </w:rPr>
              <w:t xml:space="preserve"> </w:t>
            </w:r>
            <w:r w:rsidR="005B6A6A" w:rsidRPr="00B10735">
              <w:rPr>
                <w:b/>
                <w:bCs/>
                <w:sz w:val="24"/>
                <w:lang w:val="et-EE"/>
              </w:rPr>
              <w:t>(</w:t>
            </w:r>
            <w:r w:rsidR="005B6A6A" w:rsidRPr="00B10735">
              <w:rPr>
                <w:sz w:val="24"/>
                <w:lang w:val="et-EE"/>
              </w:rPr>
              <w:t>elektrivarustus, elektrijaamad, alajaamad, elektrivõrgud, elektrimasinad) ning soojustehniliste al</w:t>
            </w:r>
            <w:r>
              <w:rPr>
                <w:sz w:val="24"/>
                <w:lang w:val="et-EE"/>
              </w:rPr>
              <w:t>a</w:t>
            </w:r>
            <w:r w:rsidR="005B6A6A" w:rsidRPr="00B10735">
              <w:rPr>
                <w:sz w:val="24"/>
                <w:lang w:val="et-EE"/>
              </w:rPr>
              <w:t>de aine</w:t>
            </w:r>
            <w:r>
              <w:rPr>
                <w:sz w:val="24"/>
                <w:lang w:val="et-EE"/>
              </w:rPr>
              <w:t>d</w:t>
            </w:r>
            <w:r w:rsidR="005B6A6A" w:rsidRPr="00B10735">
              <w:rPr>
                <w:sz w:val="24"/>
                <w:lang w:val="et-EE"/>
              </w:rPr>
              <w:t xml:space="preserve">, sh soojusmajandus, soojusjõuseadmed, soojusgeneraatorid. </w:t>
            </w:r>
            <w:r w:rsidR="00B10735">
              <w:rPr>
                <w:sz w:val="24"/>
                <w:lang w:val="et-EE"/>
              </w:rPr>
              <w:t xml:space="preserve">Üliõpilane </w:t>
            </w:r>
            <w:r w:rsidR="00B10735" w:rsidRPr="00B10735">
              <w:rPr>
                <w:sz w:val="24"/>
                <w:lang w:val="et-EE"/>
              </w:rPr>
              <w:t>omab teadmisi energia muundamisest, energia e</w:t>
            </w:r>
            <w:r w:rsidR="00B10735">
              <w:rPr>
                <w:sz w:val="24"/>
                <w:lang w:val="et-EE"/>
              </w:rPr>
              <w:t xml:space="preserve">dastamisest ja salvestamisest; </w:t>
            </w:r>
            <w:r w:rsidR="00B10735" w:rsidRPr="00B10735">
              <w:rPr>
                <w:sz w:val="24"/>
                <w:lang w:val="et-EE"/>
              </w:rPr>
              <w:t>suudab leida võimalusi keskkonnaprobleemide leevendamiseks</w:t>
            </w:r>
            <w:r w:rsidR="00B10735">
              <w:rPr>
                <w:sz w:val="24"/>
                <w:lang w:val="et-EE"/>
              </w:rPr>
              <w:t xml:space="preserve">; </w:t>
            </w:r>
            <w:r w:rsidR="00B10735" w:rsidRPr="00B10735">
              <w:rPr>
                <w:sz w:val="24"/>
                <w:lang w:val="et-EE"/>
              </w:rPr>
              <w:t>teab sooju</w:t>
            </w:r>
            <w:r w:rsidR="00B10735">
              <w:rPr>
                <w:sz w:val="24"/>
                <w:lang w:val="et-EE"/>
              </w:rPr>
              <w:t xml:space="preserve">sjõuseadmete keskkonnamõjusid; </w:t>
            </w:r>
            <w:r w:rsidR="00B10735" w:rsidRPr="00B10735">
              <w:rPr>
                <w:sz w:val="24"/>
                <w:lang w:val="et-EE"/>
              </w:rPr>
              <w:t xml:space="preserve">oskab eristada toimuvaid termodünaamilisi protsesse erinevates soojusjõuseadmetes; </w:t>
            </w:r>
          </w:p>
          <w:p w:rsidR="00B10735" w:rsidRPr="00B10735" w:rsidRDefault="00B10735" w:rsidP="00B10735">
            <w:pPr>
              <w:rPr>
                <w:sz w:val="24"/>
                <w:lang w:val="et-EE"/>
              </w:rPr>
            </w:pPr>
            <w:r w:rsidRPr="00B10735">
              <w:rPr>
                <w:sz w:val="24"/>
                <w:lang w:val="et-EE"/>
              </w:rPr>
              <w:t>teab auru- ja veekatlaid, auru- ja gaasiturbiiniseadmeid ja nende jääksoojuse</w:t>
            </w:r>
            <w:r>
              <w:rPr>
                <w:sz w:val="24"/>
                <w:lang w:val="et-EE"/>
              </w:rPr>
              <w:t xml:space="preserve"> kasutamist soojuse tootmisel; </w:t>
            </w:r>
            <w:r w:rsidRPr="00B10735">
              <w:rPr>
                <w:sz w:val="24"/>
                <w:lang w:val="et-EE"/>
              </w:rPr>
              <w:t xml:space="preserve">teab elektri ja soojuse koostootmisest; </w:t>
            </w:r>
          </w:p>
          <w:p w:rsidR="007E298F" w:rsidRPr="00B10735" w:rsidRDefault="00B10735" w:rsidP="00B10735">
            <w:pPr>
              <w:rPr>
                <w:b/>
                <w:color w:val="00B0F0"/>
                <w:u w:val="single"/>
                <w:lang w:val="et-EE"/>
              </w:rPr>
            </w:pPr>
            <w:r w:rsidRPr="00B10735">
              <w:rPr>
                <w:sz w:val="24"/>
                <w:lang w:val="et-EE"/>
              </w:rPr>
              <w:t>saab ülevaate kõrgepinge katse- ja mõõteseadmetest, välis- ja siseisolatsioonist, orienteerub eri tüüpi liigpingetes ja diferentseerib neid.</w:t>
            </w:r>
          </w:p>
        </w:tc>
      </w:tr>
      <w:tr w:rsidR="00252A60" w:rsidRPr="00F61B0B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r w:rsidR="005E79E9" w:rsidRPr="006F4B12">
              <w:rPr>
                <w:sz w:val="24"/>
                <w:szCs w:val="24"/>
                <w:lang w:val="et-EE"/>
              </w:rPr>
              <w:t>Erasmuse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AA70B1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1073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B10735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B10735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B10735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B10735">
              <w:rPr>
                <w:sz w:val="24"/>
                <w:szCs w:val="24"/>
                <w:lang w:val="et-EE"/>
              </w:rPr>
              <w:t xml:space="preserve">kohapoolsele </w:t>
            </w:r>
            <w:r w:rsidRPr="00B10735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Pr="00B10735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B10735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Pr="00B10735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B10735"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B10735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B10735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B10735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 w:rsidRPr="00B10735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B10735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B10735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B10735">
              <w:rPr>
                <w:rFonts w:eastAsia="Calibri"/>
                <w:sz w:val="24"/>
                <w:szCs w:val="24"/>
                <w:lang w:val="et-EE"/>
              </w:rPr>
              <w:t>Hoidma praktikakoha äri- ja ametisaladusi ning head mainet.</w:t>
            </w:r>
          </w:p>
        </w:tc>
      </w:tr>
      <w:tr w:rsidR="00252A60" w:rsidRPr="0067348E" w:rsidTr="00AA70B1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1073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B10735">
              <w:rPr>
                <w:b/>
                <w:sz w:val="24"/>
                <w:szCs w:val="24"/>
                <w:lang w:val="et-EE"/>
              </w:rPr>
              <w:t xml:space="preserve">8. </w:t>
            </w:r>
            <w:r w:rsidR="00586382" w:rsidRPr="00B10735">
              <w:rPr>
                <w:b/>
                <w:sz w:val="24"/>
                <w:szCs w:val="24"/>
                <w:lang w:val="et-EE"/>
              </w:rPr>
              <w:t>P</w:t>
            </w:r>
            <w:r w:rsidRPr="00B10735">
              <w:rPr>
                <w:b/>
                <w:sz w:val="24"/>
                <w:szCs w:val="24"/>
                <w:lang w:val="et-EE"/>
              </w:rPr>
              <w:t>raktika 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6"/>
              <w:gridCol w:w="4980"/>
            </w:tblGrid>
            <w:tr w:rsidR="000D45BC" w:rsidRPr="00033F3A" w:rsidTr="0000607B">
              <w:tc>
                <w:tcPr>
                  <w:tcW w:w="3085" w:type="dxa"/>
                </w:tcPr>
                <w:p w:rsidR="000D45BC" w:rsidRPr="00033F3A" w:rsidRDefault="000D45BC" w:rsidP="0000607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sz w:val="24"/>
                      <w:szCs w:val="24"/>
                    </w:rPr>
                    <w:t>Hindamismeetodid</w:t>
                  </w:r>
                  <w:proofErr w:type="spellEnd"/>
                </w:p>
              </w:tc>
              <w:tc>
                <w:tcPr>
                  <w:tcW w:w="6491" w:type="dxa"/>
                </w:tcPr>
                <w:p w:rsidR="000D45BC" w:rsidRPr="00033F3A" w:rsidRDefault="000D45BC" w:rsidP="0000607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33F3A">
                    <w:rPr>
                      <w:sz w:val="24"/>
                      <w:szCs w:val="24"/>
                    </w:rPr>
                    <w:t>Hindamiskriteeriumid</w:t>
                  </w:r>
                  <w:proofErr w:type="spellEnd"/>
                </w:p>
              </w:tc>
            </w:tr>
            <w:tr w:rsidR="000D45BC" w:rsidRPr="004D3DCC" w:rsidTr="0000607B">
              <w:tc>
                <w:tcPr>
                  <w:tcW w:w="3085" w:type="dxa"/>
                </w:tcPr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bookmarkStart w:id="0" w:name="_GoBack" w:colFirst="0" w:colLast="1"/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Hindamismeetod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1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aruande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kontroll</w:t>
                  </w:r>
                  <w:proofErr w:type="spellEnd"/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arvestamiseks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esitatakse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aruanne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(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päevik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),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mis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peab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sisaldama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ülevaadet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praktikandi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töökäigust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kasutatud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meetodite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proofErr w:type="gramStart"/>
                  <w:r w:rsidRPr="004D2942">
                    <w:rPr>
                      <w:sz w:val="24"/>
                      <w:szCs w:val="24"/>
                      <w:lang w:val="et-EE"/>
                    </w:rPr>
                    <w:t>vahendite</w:t>
                  </w:r>
                  <w:proofErr w:type="spellEnd"/>
                  <w:proofErr w:type="gram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kirjeldust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. 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Praktikakoha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juhendaja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hinnangut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prakika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läbimise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kohta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. 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</w:p>
              </w:tc>
              <w:tc>
                <w:tcPr>
                  <w:tcW w:w="6491" w:type="dxa"/>
                </w:tcPr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„5“ -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Praktikapäevik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sisaldab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kõiki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praktikaga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seonduvaid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materjale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(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nt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joonised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skeemid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vms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)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Praktikapäevik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oma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sisult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analüütiline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keskendub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ülesannetele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praktikandi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soorituse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analüüsile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praktiliste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tegevuste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seos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teoreetilise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materjaliga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kajastatakse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. </w:t>
                  </w:r>
                  <w:proofErr w:type="spellStart"/>
                  <w:proofErr w:type="gramStart"/>
                  <w:r w:rsidRPr="004D2942">
                    <w:rPr>
                      <w:sz w:val="24"/>
                      <w:szCs w:val="24"/>
                      <w:lang w:val="et-EE"/>
                    </w:rPr>
                    <w:t>meeskonnatööga</w:t>
                  </w:r>
                  <w:proofErr w:type="spellEnd"/>
                  <w:proofErr w:type="gram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seondut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üliõpilase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hinnangule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praktikakohale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iseendale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.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Praktikapäevik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koostatud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vastavalt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kirjalike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tööde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vormistamise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juhendile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Praktikakoha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juhendaja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hinnang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prakika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läbimise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kohta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suurepärane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r w:rsidRPr="004D2942">
                    <w:rPr>
                      <w:sz w:val="24"/>
                      <w:szCs w:val="24"/>
                      <w:lang w:val="et-EE"/>
                    </w:rPr>
                    <w:t>„4</w:t>
                  </w:r>
                  <w:proofErr w:type="gramStart"/>
                  <w:r w:rsidRPr="004D2942">
                    <w:rPr>
                      <w:sz w:val="24"/>
                      <w:szCs w:val="24"/>
                      <w:lang w:val="et-EE"/>
                    </w:rPr>
                    <w:t>“ -</w:t>
                  </w:r>
                  <w:proofErr w:type="gram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Praktikapäevik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sisaldab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kõiki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praktikaga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seonduvaid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materjale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(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nt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joonised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skeemid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vms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).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Praktikapäevik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oma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sisult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analüütiline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keskendub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ülesannetele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praktikandi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soorituse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analüüsile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praktiliste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tegevuste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seosele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teoreetilise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materjaliga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kajastatakse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meeskonnatööga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seonduvat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üliõpilase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hinnangut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praktikakohale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iseendale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.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Praktikapäevik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koostatud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vastavalt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kirjalike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tööde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vormistamise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juhendile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Praktikakoha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juhendaja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hinnang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prakika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läbimise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kohta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väga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hea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Esineb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mõningaid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mitteolulisi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ebatäpsusi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aruande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vormistamisel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r w:rsidRPr="004D2942">
                    <w:rPr>
                      <w:sz w:val="24"/>
                      <w:szCs w:val="24"/>
                      <w:lang w:val="et-EE"/>
                    </w:rPr>
                    <w:t>“3</w:t>
                  </w:r>
                  <w:proofErr w:type="gramStart"/>
                  <w:r w:rsidRPr="004D2942">
                    <w:rPr>
                      <w:sz w:val="24"/>
                      <w:szCs w:val="24"/>
                      <w:lang w:val="et-EE"/>
                    </w:rPr>
                    <w:t>“ -</w:t>
                  </w:r>
                  <w:proofErr w:type="gram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Praktikapäevik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sisaldab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kõiki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praktikaga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seonduvaid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materjale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(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nt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joonised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skeemid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vms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).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Praktikapäevik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oma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sisult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analüütiline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keskendub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ülesannetele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praktikandi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soorituse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analüüsile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praktiliste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tegevuste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seosele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teoreetilise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materjaliga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kajastatakse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meeskonnatööga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seonduvat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proofErr w:type="gramStart"/>
                  <w:r w:rsidRPr="004D2942">
                    <w:rPr>
                      <w:sz w:val="24"/>
                      <w:szCs w:val="24"/>
                      <w:lang w:val="et-EE"/>
                    </w:rPr>
                    <w:t>üliõpilase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hinnangule</w:t>
                  </w:r>
                  <w:proofErr w:type="spellEnd"/>
                  <w:proofErr w:type="gram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praktikakohale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iseendale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.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Praktikapäevik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koostatud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vastavalt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kirjalike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tööde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vormistamise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juhendile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Praktikakoha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juhendaja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hinnang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prakika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läbimise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lastRenderedPageBreak/>
                    <w:t>kohta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hea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Esineb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mitteolulisi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ebatäpsusi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aruande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vormistamisel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r w:rsidRPr="004D2942">
                    <w:rPr>
                      <w:sz w:val="24"/>
                      <w:szCs w:val="24"/>
                      <w:lang w:val="et-EE"/>
                    </w:rPr>
                    <w:t>“2</w:t>
                  </w:r>
                  <w:proofErr w:type="gramStart"/>
                  <w:r w:rsidRPr="004D2942">
                    <w:rPr>
                      <w:sz w:val="24"/>
                      <w:szCs w:val="24"/>
                      <w:lang w:val="et-EE"/>
                    </w:rPr>
                    <w:t>“ -</w:t>
                  </w:r>
                  <w:proofErr w:type="gram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Praktikapäevik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sisaldab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praktikaga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seonduvaid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materjale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(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nt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joonised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skeemid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vms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).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Praktikapäevik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oma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sisult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analüütiline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keskendub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ülesannetele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praktikandi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soorituse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analüüsile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praktiliste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tegevuste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seosele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teoreetilise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materjaliga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kajastatakse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proofErr w:type="gramStart"/>
                  <w:r w:rsidRPr="004D2942">
                    <w:rPr>
                      <w:sz w:val="24"/>
                      <w:szCs w:val="24"/>
                      <w:lang w:val="et-EE"/>
                    </w:rPr>
                    <w:t>meeskonnatööga</w:t>
                  </w:r>
                  <w:proofErr w:type="spellEnd"/>
                  <w:proofErr w:type="gram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seonduvat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üliõpilase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hinnangule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praktikakohale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iseendale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.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Praktikapäevik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koostatud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vastavalt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kirjalike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tööde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vormistamise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juhendile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Praktikakoha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juhendaja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hinnang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prakika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läbimise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kohta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rahuldav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või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hea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Esineb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olulisi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ebatäpsusi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pealiskaudsust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aruande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vormistamisel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r w:rsidRPr="004D2942">
                    <w:rPr>
                      <w:sz w:val="24"/>
                      <w:szCs w:val="24"/>
                      <w:lang w:val="et-EE"/>
                    </w:rPr>
                    <w:t>“1</w:t>
                  </w:r>
                  <w:proofErr w:type="gramStart"/>
                  <w:r w:rsidRPr="004D2942">
                    <w:rPr>
                      <w:sz w:val="24"/>
                      <w:szCs w:val="24"/>
                      <w:lang w:val="et-EE"/>
                    </w:rPr>
                    <w:t>“ -</w:t>
                  </w:r>
                  <w:proofErr w:type="gram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Praktikapäevik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sisalda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kõiki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praktikaga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seonduvaid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materjale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(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nt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joonised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skeemid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vms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).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Praktikapäevik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oma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sisult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ole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analüütiline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keskendu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ülesannetele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praktikandi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soorituse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analüüsile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;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praktiliste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tegevuste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seos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teoreetilise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materjaliga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nõrk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meeskonnatööga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seonduv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üliõpilase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hinnang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praktikakohale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iseendale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pealiskaudne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.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Praktikapäevik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koostatud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vastavalt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kirjalike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tööde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vormistamise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juhendile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kuid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pealiskaudne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lohakas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. 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Praktikakoha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juhendaja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hinnang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prakika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läbimise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kohta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rahuldav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kuid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märkustega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Esineb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olulisi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ebatäpsusi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aruande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vormistamisel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</w:tc>
            </w:tr>
            <w:tr w:rsidR="000D45BC" w:rsidRPr="007774F5" w:rsidTr="0000607B">
              <w:tc>
                <w:tcPr>
                  <w:tcW w:w="3085" w:type="dxa"/>
                </w:tcPr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lastRenderedPageBreak/>
                    <w:t>Hindamismeetod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2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kaitsmine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esitluse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alusel</w:t>
                  </w:r>
                  <w:proofErr w:type="spellEnd"/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</w:p>
              </w:tc>
              <w:tc>
                <w:tcPr>
                  <w:tcW w:w="6491" w:type="dxa"/>
                </w:tcPr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“5” -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esitlus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veenev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loogiliselt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üles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ehitatud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sorav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Esitlus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illustreeritud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lisamaterjalidega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ning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see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mahub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etteantud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ajaraamidesse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.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Esitlus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sisukas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ning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toodud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piisavalt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põhjendusi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selgitamaks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tehtud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järeldusi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.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Üliõpilane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suudab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vastata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esitatud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küsimustele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ning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mõistab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suurepäraselt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teemavaldkonda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“4” -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esitlus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tervikuna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veenev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loogiliselt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üles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ehitatud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Esitlus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proofErr w:type="gramStart"/>
                  <w:r w:rsidRPr="004D2942">
                    <w:rPr>
                      <w:sz w:val="24"/>
                      <w:szCs w:val="24"/>
                      <w:lang w:val="et-EE"/>
                    </w:rPr>
                    <w:t>illustreeritud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lisamaterjalidega</w:t>
                  </w:r>
                  <w:proofErr w:type="spellEnd"/>
                  <w:proofErr w:type="gram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.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Esitlus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sisukas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ning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on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toodud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piisavalt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põhjendusi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selgitamaks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tehtud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järeldusi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.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Üliõpilane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suudab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vastata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esitatud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küsimustele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ning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mõistab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teemavaldkonda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“3” -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sama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mis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4,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kuid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esitluses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esinevad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ebatäpsused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“2” -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teab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materjali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,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kuid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esitluses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esinevad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vead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lastRenderedPageBreak/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ebatäpsused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“1” -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esitlus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pole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illustreeritud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.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Esitluses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ole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piisavalt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põhjendusi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.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Üliõpilane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vastab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esitatud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küsimustele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teemavaldkonna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kohta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vigadega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</w:tc>
            </w:tr>
            <w:tr w:rsidR="000D45BC" w:rsidTr="0000607B">
              <w:tc>
                <w:tcPr>
                  <w:tcW w:w="3085" w:type="dxa"/>
                </w:tcPr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lastRenderedPageBreak/>
                    <w:t>Hindamisele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pääsemise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eeldused</w:t>
                  </w:r>
                  <w:proofErr w:type="spellEnd"/>
                </w:p>
              </w:tc>
              <w:tc>
                <w:tcPr>
                  <w:tcW w:w="6491" w:type="dxa"/>
                </w:tcPr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Praktikapäeviku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täielikult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või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osaliselt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täitmine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aruande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esitamine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Praktikakoha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juhendaja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hinnang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prakika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läbimise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kohta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>.</w:t>
                  </w:r>
                </w:p>
              </w:tc>
            </w:tr>
            <w:tr w:rsidR="000D45BC" w:rsidRPr="007774F5" w:rsidTr="0000607B">
              <w:tc>
                <w:tcPr>
                  <w:tcW w:w="3085" w:type="dxa"/>
                </w:tcPr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Lõpphinde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kujunemine</w:t>
                  </w:r>
                  <w:proofErr w:type="spellEnd"/>
                </w:p>
              </w:tc>
              <w:tc>
                <w:tcPr>
                  <w:tcW w:w="6491" w:type="dxa"/>
                </w:tcPr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hindamisel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arvestatakse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ülesande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täitmise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tulemuslikkust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(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Hindamismeetod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1) - 50%;</w:t>
                  </w:r>
                </w:p>
                <w:p w:rsidR="000D45BC" w:rsidRPr="004D2942" w:rsidRDefault="000D45BC" w:rsidP="0000607B">
                  <w:pPr>
                    <w:rPr>
                      <w:sz w:val="24"/>
                      <w:szCs w:val="24"/>
                      <w:lang w:val="et-EE"/>
                    </w:rPr>
                  </w:pPr>
                  <w:proofErr w:type="spellStart"/>
                  <w:proofErr w:type="gramStart"/>
                  <w:r w:rsidRPr="004D2942">
                    <w:rPr>
                      <w:sz w:val="24"/>
                      <w:szCs w:val="24"/>
                      <w:lang w:val="et-EE"/>
                    </w:rPr>
                    <w:t>ja</w:t>
                  </w:r>
                  <w:proofErr w:type="spellEnd"/>
                  <w:proofErr w:type="gram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praktikaaruande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kaitsmist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(</w:t>
                  </w:r>
                  <w:proofErr w:type="spellStart"/>
                  <w:r w:rsidRPr="004D2942">
                    <w:rPr>
                      <w:sz w:val="24"/>
                      <w:szCs w:val="24"/>
                      <w:lang w:val="et-EE"/>
                    </w:rPr>
                    <w:t>Hindamismeetod</w:t>
                  </w:r>
                  <w:proofErr w:type="spellEnd"/>
                  <w:r w:rsidRPr="004D2942">
                    <w:rPr>
                      <w:sz w:val="24"/>
                      <w:szCs w:val="24"/>
                      <w:lang w:val="et-EE"/>
                    </w:rPr>
                    <w:t xml:space="preserve"> 2) - 50%.</w:t>
                  </w:r>
                </w:p>
              </w:tc>
            </w:tr>
            <w:bookmarkEnd w:id="0"/>
          </w:tbl>
          <w:p w:rsidR="00A3418C" w:rsidRPr="00A3418C" w:rsidRDefault="00A3418C" w:rsidP="00B1073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252A60" w:rsidRPr="002F65A1" w:rsidTr="00AA70B1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 vormistamise juhendi nõuetest.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AA70B1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AA70B1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2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76C92"/>
    <w:rsid w:val="000B432C"/>
    <w:rsid w:val="000D45BC"/>
    <w:rsid w:val="00105A97"/>
    <w:rsid w:val="0012258C"/>
    <w:rsid w:val="00137F14"/>
    <w:rsid w:val="001564A7"/>
    <w:rsid w:val="00162F57"/>
    <w:rsid w:val="0019119A"/>
    <w:rsid w:val="001C499C"/>
    <w:rsid w:val="002311B2"/>
    <w:rsid w:val="00252A60"/>
    <w:rsid w:val="002F65A1"/>
    <w:rsid w:val="00340113"/>
    <w:rsid w:val="003600F3"/>
    <w:rsid w:val="003A4BF7"/>
    <w:rsid w:val="003E2C0B"/>
    <w:rsid w:val="00496A38"/>
    <w:rsid w:val="004D2942"/>
    <w:rsid w:val="00586382"/>
    <w:rsid w:val="005B6A6A"/>
    <w:rsid w:val="005E79E9"/>
    <w:rsid w:val="00647D09"/>
    <w:rsid w:val="0067348E"/>
    <w:rsid w:val="00693CDE"/>
    <w:rsid w:val="00697C55"/>
    <w:rsid w:val="006B4AB7"/>
    <w:rsid w:val="006F4B12"/>
    <w:rsid w:val="00752A0F"/>
    <w:rsid w:val="007B5BA8"/>
    <w:rsid w:val="007C7485"/>
    <w:rsid w:val="007E298F"/>
    <w:rsid w:val="008230E7"/>
    <w:rsid w:val="00855751"/>
    <w:rsid w:val="008811EF"/>
    <w:rsid w:val="008D2310"/>
    <w:rsid w:val="008F0B6A"/>
    <w:rsid w:val="008F6345"/>
    <w:rsid w:val="009020BA"/>
    <w:rsid w:val="00965D76"/>
    <w:rsid w:val="00981A0C"/>
    <w:rsid w:val="009F1CAD"/>
    <w:rsid w:val="00A3418C"/>
    <w:rsid w:val="00A54961"/>
    <w:rsid w:val="00A667E4"/>
    <w:rsid w:val="00B021B6"/>
    <w:rsid w:val="00B10735"/>
    <w:rsid w:val="00BC545D"/>
    <w:rsid w:val="00CC0362"/>
    <w:rsid w:val="00D401F4"/>
    <w:rsid w:val="00D50B6E"/>
    <w:rsid w:val="00DB0B7C"/>
    <w:rsid w:val="00EA06A5"/>
    <w:rsid w:val="00F04FA7"/>
    <w:rsid w:val="00F21328"/>
    <w:rsid w:val="00F32BD3"/>
    <w:rsid w:val="00F57F49"/>
    <w:rsid w:val="00F67A74"/>
    <w:rsid w:val="00F75FB9"/>
    <w:rsid w:val="00F93781"/>
    <w:rsid w:val="00FA26C3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0D45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0D45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CF8F18E7</Template>
  <TotalTime>0</TotalTime>
  <Pages>5</Pages>
  <Words>1415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2014-05-05T05:15:00Z</cp:lastPrinted>
  <dcterms:created xsi:type="dcterms:W3CDTF">2014-12-15T10:03:00Z</dcterms:created>
  <dcterms:modified xsi:type="dcterms:W3CDTF">2014-12-15T10:03:00Z</dcterms:modified>
</cp:coreProperties>
</file>