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165A0F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165A0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E0330</w:t>
            </w:r>
            <w:r w:rsidR="006D6EAE"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</w:t>
            </w:r>
            <w:r w:rsidR="00237B1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Eriala</w:t>
            </w:r>
            <w:r w:rsidR="006D6EAE"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praktika</w:t>
            </w:r>
            <w:r w:rsidR="00237B1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II</w:t>
            </w:r>
          </w:p>
        </w:tc>
      </w:tr>
      <w:tr w:rsidR="00252A60" w:rsidRPr="00AB577E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6D6EAE" w:rsidRDefault="00827F3D" w:rsidP="00827F3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12</w:t>
            </w:r>
            <w:r w:rsidR="006D6EAE" w:rsidRPr="006D6EAE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6D6EAE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6D6EAE">
              <w:rPr>
                <w:b/>
                <w:sz w:val="24"/>
                <w:szCs w:val="24"/>
                <w:lang w:val="et-EE"/>
              </w:rPr>
              <w:t xml:space="preserve">, </w:t>
            </w:r>
            <w:r>
              <w:rPr>
                <w:b/>
                <w:sz w:val="24"/>
                <w:szCs w:val="24"/>
                <w:lang w:val="et-EE"/>
              </w:rPr>
              <w:t>8</w:t>
            </w:r>
            <w:r w:rsidR="006D6EAE" w:rsidRPr="006D6EAE">
              <w:rPr>
                <w:b/>
                <w:sz w:val="24"/>
                <w:szCs w:val="24"/>
                <w:lang w:val="et-EE"/>
              </w:rPr>
              <w:t xml:space="preserve"> </w:t>
            </w:r>
            <w:r w:rsidR="00FE4507" w:rsidRPr="006D6EAE">
              <w:rPr>
                <w:b/>
                <w:sz w:val="24"/>
                <w:szCs w:val="24"/>
                <w:lang w:val="et-EE"/>
              </w:rPr>
              <w:t>nädala</w:t>
            </w:r>
            <w:r w:rsidR="00237B1E">
              <w:rPr>
                <w:b/>
                <w:sz w:val="24"/>
                <w:szCs w:val="24"/>
                <w:lang w:val="et-EE"/>
              </w:rPr>
              <w:t>t</w:t>
            </w:r>
            <w:r w:rsidR="00252A60" w:rsidRPr="006D6EAE">
              <w:rPr>
                <w:b/>
                <w:sz w:val="24"/>
                <w:szCs w:val="24"/>
                <w:lang w:val="et-EE"/>
              </w:rPr>
              <w:t xml:space="preserve"> </w:t>
            </w:r>
            <w:r w:rsidR="00D56340" w:rsidRPr="00F4360B">
              <w:rPr>
                <w:sz w:val="24"/>
                <w:szCs w:val="24"/>
                <w:lang w:val="et-EE"/>
              </w:rPr>
              <w:t>(1 EAP võrdsustatakse 26 tunni tööga, sh iseseisev töö, mis kulub näiteks praktikaaruande koostamisele)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6D6EAE" w:rsidRDefault="009020BA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6D6EAE">
              <w:rPr>
                <w:sz w:val="24"/>
                <w:szCs w:val="24"/>
                <w:lang w:val="et-EE"/>
              </w:rPr>
              <w:t>H</w:t>
            </w:r>
            <w:r w:rsidR="00252A60" w:rsidRPr="006D6EAE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633BCF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D56340" w:rsidRDefault="00827F3D" w:rsidP="006D6EAE">
            <w:pPr>
              <w:rPr>
                <w:sz w:val="24"/>
                <w:szCs w:val="24"/>
                <w:lang w:val="et-EE"/>
              </w:rPr>
            </w:pPr>
            <w:r w:rsidRPr="00827F3D">
              <w:rPr>
                <w:sz w:val="24"/>
                <w:szCs w:val="24"/>
                <w:lang w:val="et-EE"/>
              </w:rPr>
              <w:t>Erialaste teoreetiliste teadmiste üldistamine ja süstematiseerimine konkreetse ettevõtte baasil; erialase praktilise kogemuse ja kompetentsuse omandamine; lõputöö kirjutamiseks vajalike uurimuste ja analüüside tegemine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AB577E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827F3D" w:rsidRDefault="00827F3D" w:rsidP="00AA70B1">
            <w:pPr>
              <w:rPr>
                <w:sz w:val="24"/>
                <w:szCs w:val="24"/>
                <w:lang w:val="et-EE"/>
              </w:rPr>
            </w:pPr>
            <w:r w:rsidRPr="00827F3D">
              <w:rPr>
                <w:sz w:val="24"/>
                <w:szCs w:val="24"/>
                <w:lang w:val="et-EE"/>
              </w:rPr>
              <w:t>Üliõpilane (1) tunneb projekteerimise ja ekspluateerimise majanduslikke aluseid; (2) oskab</w:t>
            </w:r>
            <w:r w:rsidRPr="00827F3D">
              <w:rPr>
                <w:lang w:val="et-EE"/>
              </w:rPr>
              <w:t xml:space="preserve"> </w:t>
            </w:r>
            <w:r w:rsidRPr="00827F3D">
              <w:rPr>
                <w:sz w:val="24"/>
                <w:szCs w:val="24"/>
                <w:lang w:val="et-EE"/>
              </w:rPr>
              <w:t>lahendada kaasaegseid tehnilisi ja majanduslikke probleeme tootearendusel ja tootmises; (3) tunneb tootmise automatiseerimisvõimalusi (robotid, CNC-seadmed jt); (4) omab inseneritaseme baasteadmisi elektrotehnikas, elektroonikas, optikas ja infotehnoloogias</w:t>
            </w:r>
          </w:p>
        </w:tc>
      </w:tr>
      <w:tr w:rsidR="007E298F" w:rsidRPr="00AB577E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855360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855360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7" w:rsidRDefault="00F833A7" w:rsidP="00F833A7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</w:rPr>
            </w:pPr>
            <w:r w:rsidRPr="00724BC3">
              <w:rPr>
                <w:b w:val="0"/>
                <w:color w:val="000000" w:themeColor="text1"/>
              </w:rPr>
              <w:t>Üliõpilane on läbi</w:t>
            </w:r>
            <w:r w:rsidR="00855360">
              <w:rPr>
                <w:b w:val="0"/>
                <w:color w:val="000000" w:themeColor="text1"/>
              </w:rPr>
              <w:t>n</w:t>
            </w:r>
            <w:r w:rsidRPr="00724BC3">
              <w:rPr>
                <w:b w:val="0"/>
                <w:color w:val="000000" w:themeColor="text1"/>
              </w:rPr>
              <w:t xml:space="preserve">ud </w:t>
            </w:r>
            <w:r>
              <w:rPr>
                <w:b w:val="0"/>
                <w:color w:val="000000" w:themeColor="text1"/>
              </w:rPr>
              <w:t>reaalainete ja graafika mooduli. O</w:t>
            </w:r>
            <w:r w:rsidRPr="00724BC3">
              <w:rPr>
                <w:b w:val="0"/>
                <w:color w:val="000000" w:themeColor="text1"/>
              </w:rPr>
              <w:t>mab teadmisi matemaatikast, tehnilisest füüsikast ning i</w:t>
            </w:r>
            <w:r>
              <w:rPr>
                <w:b w:val="0"/>
                <w:color w:val="000000" w:themeColor="text1"/>
              </w:rPr>
              <w:t xml:space="preserve">nfotehnoloogiast </w:t>
            </w:r>
            <w:r w:rsidR="00855360">
              <w:rPr>
                <w:b w:val="0"/>
                <w:color w:val="000000" w:themeColor="text1"/>
              </w:rPr>
              <w:t xml:space="preserve">vajalikus </w:t>
            </w:r>
            <w:r>
              <w:rPr>
                <w:b w:val="0"/>
                <w:color w:val="000000" w:themeColor="text1"/>
              </w:rPr>
              <w:t>sisus ja mahus,</w:t>
            </w:r>
            <w:r w:rsidRPr="00724BC3">
              <w:rPr>
                <w:b w:val="0"/>
                <w:color w:val="000000" w:themeColor="text1"/>
              </w:rPr>
              <w:t xml:space="preserve"> oskab erinevatel teadusaladel probleeme kirjeldada, analüüsida, lahendada ja tulemusi interpreteerida.</w:t>
            </w:r>
            <w:r>
              <w:rPr>
                <w:b w:val="0"/>
                <w:color w:val="000000" w:themeColor="text1"/>
              </w:rPr>
              <w:t xml:space="preserve"> O</w:t>
            </w:r>
            <w:r w:rsidRPr="00724BC3">
              <w:rPr>
                <w:b w:val="0"/>
                <w:color w:val="000000" w:themeColor="text1"/>
              </w:rPr>
              <w:t>skab kasutada insenerigraafika-alaseid mõisteid ning nende rakendusi; kasutada loogilist ja analüütilist mõtlemist ning süsteemset lähenemist ruumigeomeetriliste ülesannete lahen</w:t>
            </w:r>
            <w:r>
              <w:rPr>
                <w:b w:val="0"/>
                <w:color w:val="000000" w:themeColor="text1"/>
              </w:rPr>
              <w:t xml:space="preserve">damisel kujutiste/jooniste abil. </w:t>
            </w:r>
            <w:r w:rsidRPr="00724BC3">
              <w:rPr>
                <w:b w:val="0"/>
                <w:color w:val="000000" w:themeColor="text1"/>
              </w:rPr>
              <w:t>Teab, kuidas on seotud toodete valmistamistolerantsid erinevate valmistustehnoloogiatega ning kuidas koostada tehnilist dokumentatsiooni detailide/koostude valmistamiseks.</w:t>
            </w:r>
          </w:p>
          <w:p w:rsidR="007E298F" w:rsidRDefault="00F833A7" w:rsidP="00F833A7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Samuti on läbitud õppe-ja töökeskkonnapraktika. Tunneb p</w:t>
            </w:r>
            <w:r w:rsidRPr="00724BC3">
              <w:rPr>
                <w:b w:val="0"/>
                <w:color w:val="000000" w:themeColor="text1"/>
              </w:rPr>
              <w:t xml:space="preserve">õhiliste </w:t>
            </w:r>
            <w:r w:rsidRPr="00AB577E">
              <w:rPr>
                <w:b w:val="0"/>
                <w:color w:val="000000" w:themeColor="text1"/>
              </w:rPr>
              <w:t xml:space="preserve">tehnoloogiaprotsesside ja -seadmete ning materjalide töötlemist seostatuna metalliõpetuse ja termotöötluse alustega. </w:t>
            </w:r>
            <w:r w:rsidR="00412517" w:rsidRPr="00AB577E">
              <w:rPr>
                <w:b w:val="0"/>
                <w:color w:val="000000" w:themeColor="text1"/>
              </w:rPr>
              <w:t>. On läbinud ka üldtehniliste ainete mooduli.</w:t>
            </w:r>
            <w:r w:rsidRPr="00AB577E">
              <w:rPr>
                <w:b w:val="0"/>
                <w:color w:val="000000" w:themeColor="text1"/>
              </w:rPr>
              <w:t>. Üliõpilane oskab</w:t>
            </w:r>
            <w:r w:rsidRPr="005A3508">
              <w:rPr>
                <w:b w:val="0"/>
                <w:color w:val="000000" w:themeColor="text1"/>
              </w:rPr>
              <w:t xml:space="preserve"> lahendada erinevaid insenerimehaanikaalaseid probleemülesandeid, oskab kontrollid</w:t>
            </w:r>
            <w:r>
              <w:rPr>
                <w:b w:val="0"/>
                <w:color w:val="000000" w:themeColor="text1"/>
              </w:rPr>
              <w:t>a süsteemi elementide seisundit,</w:t>
            </w:r>
            <w:r w:rsidRPr="005A3508">
              <w:rPr>
                <w:b w:val="0"/>
                <w:color w:val="000000" w:themeColor="text1"/>
              </w:rPr>
              <w:t xml:space="preserve"> tunneb tänapäevaste materjalide valmis</w:t>
            </w:r>
            <w:r>
              <w:rPr>
                <w:b w:val="0"/>
                <w:color w:val="000000" w:themeColor="text1"/>
              </w:rPr>
              <w:t>tamis- ja töötlemistehnoloogiat.</w:t>
            </w:r>
          </w:p>
          <w:p w:rsidR="00F833A7" w:rsidRPr="00F833A7" w:rsidRDefault="00F833A7" w:rsidP="00F833A7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  <w:u w:val="single"/>
              </w:rPr>
            </w:pPr>
            <w:r>
              <w:rPr>
                <w:b w:val="0"/>
                <w:color w:val="000000" w:themeColor="text1"/>
              </w:rPr>
              <w:t>Samas üliõpilane on läbitud tootearenduse aineid. Teab</w:t>
            </w:r>
            <w:r w:rsidRPr="00F833A7">
              <w:rPr>
                <w:b w:val="0"/>
                <w:color w:val="000000" w:themeColor="text1"/>
              </w:rPr>
              <w:t xml:space="preserve"> seadmete üldehitust, arvjuhtimissüsteemide programmeerimise ja juhtimise iseärasusi, oskab prognoosida tootmisseadmete remondi ja tehnohoolduse vajadust.</w:t>
            </w:r>
            <w:r>
              <w:rPr>
                <w:b w:val="0"/>
                <w:color w:val="000000" w:themeColor="text1"/>
              </w:rPr>
              <w:t xml:space="preserve"> Oskab koostada</w:t>
            </w:r>
            <w:r w:rsidRPr="00F833A7">
              <w:rPr>
                <w:b w:val="0"/>
                <w:color w:val="000000" w:themeColor="text1"/>
              </w:rPr>
              <w:t xml:space="preserve"> tootmise tehnilis-majanduslikku analüüsi, tegema tehnilisi ja tehnoloo</w:t>
            </w:r>
            <w:r>
              <w:rPr>
                <w:b w:val="0"/>
                <w:color w:val="000000" w:themeColor="text1"/>
              </w:rPr>
              <w:t>giaarendusalaseid ettepanekuid.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r w:rsidR="005E79E9" w:rsidRPr="006F4B12">
              <w:rPr>
                <w:sz w:val="24"/>
                <w:szCs w:val="24"/>
                <w:lang w:val="et-EE"/>
              </w:rPr>
              <w:t>Erasmuse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 xml:space="preserve">ja praktikaaruande. Üliõpilane kaitseb oma aruannet avalikul seminaril. Praktika kaitsmise kuupäevad tehakse tudengitele teatavaks iga semestri </w:t>
            </w:r>
            <w:r w:rsidRPr="003E2C0B">
              <w:rPr>
                <w:sz w:val="24"/>
                <w:szCs w:val="24"/>
                <w:lang w:val="et-EE"/>
              </w:rPr>
              <w:lastRenderedPageBreak/>
              <w:t>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Hindamismeetod 1.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praktikaaruanne (väljundid 1, 2, 3)</w:t>
            </w: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„5“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Oskab analüüsida probleeme ja hinnata oma lahendusi.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Vigu ei ole</w:t>
            </w: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„4“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Sama, mis 5, kuid teadmistes esinevad üksikud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ebatäpsused</w:t>
            </w: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„3“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tuletuses esinevad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vead ja ebatäpsused</w:t>
            </w: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„2“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esin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evad mõningaid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vead.</w:t>
            </w:r>
          </w:p>
          <w:p w:rsidR="00412517" w:rsidRDefault="00412517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„1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esineb palju vigu. Tegevuse aruanne on tehtud ebakorrektselt või on vähe materjali.</w:t>
            </w:r>
          </w:p>
          <w:p w:rsidR="00412517" w:rsidRPr="00412517" w:rsidRDefault="00412517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Hindamismeetod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>2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.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Hindeline arvestus (väljundid 1, 2, 3)</w:t>
            </w: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„5“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Omandab suurepäraselt teadmist ettekane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esitades.</w:t>
            </w: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„4“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Sama, mis 5, kuid teadmistes esinevad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üksikud ebatäpsused</w:t>
            </w:r>
          </w:p>
          <w:p w:rsidR="00D86539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„3“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tuletuses esinevad vead ja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ebatäpsused</w:t>
            </w:r>
          </w:p>
          <w:p w:rsidR="00D86539" w:rsidRPr="0028153E" w:rsidRDefault="00D86539" w:rsidP="00D8653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„2“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</w:t>
            </w:r>
            <w:r w:rsidRPr="00D86539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esinevad mõningaid vead.</w:t>
            </w:r>
          </w:p>
          <w:p w:rsidR="00D401F4" w:rsidRPr="00D91C78" w:rsidRDefault="00412517" w:rsidP="00F32BD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  <w:lang w:val="et-EE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„1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– Sama, mis 2, kuid esineb palju vigu ning aruanne on ebakorrektne.</w:t>
            </w:r>
          </w:p>
        </w:tc>
      </w:tr>
      <w:tr w:rsidR="00252A60" w:rsidRPr="00AB577E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</w:t>
            </w:r>
            <w:r w:rsidR="0047155D">
              <w:rPr>
                <w:sz w:val="24"/>
                <w:szCs w:val="24"/>
                <w:lang w:val="et-EE"/>
              </w:rPr>
              <w:t>e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105A97"/>
    <w:rsid w:val="00137F14"/>
    <w:rsid w:val="001564A7"/>
    <w:rsid w:val="00165A0F"/>
    <w:rsid w:val="0019119A"/>
    <w:rsid w:val="001C499C"/>
    <w:rsid w:val="002311B2"/>
    <w:rsid w:val="00237B1E"/>
    <w:rsid w:val="00242B11"/>
    <w:rsid w:val="00252A60"/>
    <w:rsid w:val="003423E0"/>
    <w:rsid w:val="003600F3"/>
    <w:rsid w:val="003E2C0B"/>
    <w:rsid w:val="00412517"/>
    <w:rsid w:val="0047155D"/>
    <w:rsid w:val="00496A38"/>
    <w:rsid w:val="00586382"/>
    <w:rsid w:val="005E79E9"/>
    <w:rsid w:val="005F1D5D"/>
    <w:rsid w:val="0064724D"/>
    <w:rsid w:val="00647D09"/>
    <w:rsid w:val="0067348E"/>
    <w:rsid w:val="00693CDE"/>
    <w:rsid w:val="00697C55"/>
    <w:rsid w:val="006D6EAE"/>
    <w:rsid w:val="006F4B12"/>
    <w:rsid w:val="007C7485"/>
    <w:rsid w:val="007C769C"/>
    <w:rsid w:val="007E298F"/>
    <w:rsid w:val="008230E7"/>
    <w:rsid w:val="00827F3D"/>
    <w:rsid w:val="00855360"/>
    <w:rsid w:val="00855751"/>
    <w:rsid w:val="008A25E5"/>
    <w:rsid w:val="008D2310"/>
    <w:rsid w:val="008F0B6A"/>
    <w:rsid w:val="009020BA"/>
    <w:rsid w:val="00965D76"/>
    <w:rsid w:val="00981A0C"/>
    <w:rsid w:val="00A667E4"/>
    <w:rsid w:val="00AB577E"/>
    <w:rsid w:val="00C938A9"/>
    <w:rsid w:val="00CC0362"/>
    <w:rsid w:val="00D401F4"/>
    <w:rsid w:val="00D50B6E"/>
    <w:rsid w:val="00D56340"/>
    <w:rsid w:val="00D86539"/>
    <w:rsid w:val="00D91C78"/>
    <w:rsid w:val="00DB0B7C"/>
    <w:rsid w:val="00DF0F11"/>
    <w:rsid w:val="00EA06A5"/>
    <w:rsid w:val="00EC2DA6"/>
    <w:rsid w:val="00F04FA7"/>
    <w:rsid w:val="00F32BD3"/>
    <w:rsid w:val="00F330E3"/>
    <w:rsid w:val="00F62422"/>
    <w:rsid w:val="00F833A7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2F2E37A2</Template>
  <TotalTime>0</TotalTime>
  <Pages>3</Pages>
  <Words>983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2014-09-16T11:23:00Z</dcterms:created>
  <dcterms:modified xsi:type="dcterms:W3CDTF">2014-09-16T11:23:00Z</dcterms:modified>
</cp:coreProperties>
</file>